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01/2025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DE EMPRESA DO RAMO PERTINENTE PARA AQUISIÇÃO DE MATERIAIS DE COPA/COZINHA PARA A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materiais de copa/cozinha para a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01/2025.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>3.1 A compra de materiais de copa/cozinha atenderá a demanda do Poder Legislativo de Três Passos durante ano todo.</w:t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3.2 A contratação será realizada por meio de Dispensa de Licitação com base no art 75, Inciso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4.1. 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4.2. A empresa contratada deverá entregar os materiais de consumo na Câmara Municipal,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4.3.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produtos deverão ser entregues em perfeito estado, devendo ser de boa qualidade e estarem dentro do prazo de validade.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5.1. A empresa contratada deverá entregar os materiais de copa/cozinha na Câmara Municipal de Três Passos-RS no prazo de 10 (dez) dias após a realização do pedido, estando incluído no valor,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val="pt-BR" w:eastAsia="ar-SA" w:bidi="ar-SA"/>
        </w:rPr>
        <w:t xml:space="preserve">5.2. </w:t>
      </w:r>
      <w:r>
        <w:rPr>
          <w:rStyle w:val="Fontepargpadro"/>
          <w:rFonts w:ascii="Times New Roman" w:hAnsi="Times New Roman"/>
          <w:b/>
          <w:bCs/>
          <w:lang w:val="pt-BR" w:eastAsia="ar-SA" w:bidi="ar-SA"/>
        </w:rPr>
        <w:t>A entrega do item 06 (erva mate para chimarrão) deverá ser realizada de forma fracionada de acordo com a demanda da Câmara Municipal de Vereadores com previsão de 04 (quatro) pacotes mensais).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materiais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01/2025.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máximo de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978,53 (novecentos e setenta e oito reais e cinquenta e três centavos)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0" w:after="0"/>
        <w:ind w:left="0" w:right="57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tbl>
      <w:tblPr>
        <w:tblW w:w="9300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i w:val="false"/>
                <w:iCs w:val="false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é torrado em pó pacote de 500g;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02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R$ 22,18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R$44,36</w:t>
            </w:r>
          </w:p>
        </w:tc>
      </w:tr>
      <w:tr>
        <w:trPr>
          <w:trHeight w:val="1097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03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R$4,81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R$14,43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Açúcar refinado pacote de 1kg;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10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R$6,05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R$60,50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R$6,12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R$ 91,80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R$7,32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R$109,80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(a erva passará por teste de qualidade realizado pelo(a) fiscal do contrato.);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44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R$14,82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R$652,08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01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R$5,56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R$5,56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 Total R$ 978,53 (novecentos e setenta e oito reais e cinquenta e três centavos)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3.3.90.30- Material de consumo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12 de fevereiro de 2025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Emanuelle C. C.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Application>LibreOffice/7.4.2.3$Windows_X86_64 LibreOffice_project/382eef1f22670f7f4118c8c2dd222ec7ad009daf</Application>
  <AppVersion>15.0000</AppVersion>
  <Pages>3</Pages>
  <Words>697</Words>
  <Characters>3713</Characters>
  <CharactersWithSpaces>4344</CharactersWithSpaces>
  <Paragraphs>85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2025-02-13T10:06:23Z</cp:lastPrinted>
  <dcterms:modified xsi:type="dcterms:W3CDTF">2025-02-13T10:06:26Z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