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TERMO DE REFERÊNCIA 39/2025</w:t>
      </w:r>
    </w:p>
    <w:p>
      <w:pPr>
        <w:pStyle w:val="Normal"/>
        <w:spacing w:lineRule="auto" w:line="27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b/>
          <w:bCs/>
          <w:sz w:val="22"/>
          <w:szCs w:val="22"/>
        </w:rPr>
        <w:t>PROCESSO ADMINISTRATI</w:t>
      </w:r>
      <w:r>
        <w:rPr>
          <w:b/>
          <w:bCs/>
          <w:color w:val="000000"/>
          <w:sz w:val="22"/>
          <w:szCs w:val="22"/>
        </w:rPr>
        <w:t>VO N° 40/2025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b/>
          <w:bCs/>
          <w:sz w:val="22"/>
          <w:szCs w:val="22"/>
        </w:rPr>
        <w:t>CÂMARA MUNICIPAL DE TRÊS PASSOS/RS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OBJETO DA CONTRATAÇÃO: CONTRATAÇÃO DE EMPRESA ESPECIALIZADA PARA FORNECIMENTO E INSTALAÇÃO DE SISTEMA DE SOM PARA O NOVO PLENÁRIO DA CÂMARA MUNICIPAL DE VEREADORES DE TRÊS PASSOS-RS.</w:t>
      </w:r>
      <w:r>
        <w:rPr>
          <w:sz w:val="22"/>
          <w:szCs w:val="22"/>
        </w:rPr>
        <w:t xml:space="preserve"> </w:t>
      </w:r>
    </w:p>
    <w:p>
      <w:pPr>
        <w:pStyle w:val="Normal"/>
        <w:spacing w:lineRule="auto" w:line="276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b/>
          <w:bCs/>
          <w:sz w:val="22"/>
          <w:szCs w:val="22"/>
        </w:rPr>
        <w:t>1. DEFINIÇÃO DO OBJETO:</w:t>
      </w:r>
    </w:p>
    <w:p>
      <w:pPr>
        <w:pStyle w:val="Normal"/>
        <w:spacing w:lineRule="auto" w:line="276"/>
        <w:rPr/>
      </w:pPr>
      <w:r>
        <w:rPr>
          <w:sz w:val="22"/>
          <w:szCs w:val="22"/>
        </w:rPr>
        <w:t xml:space="preserve">O presente Termo de Referência tem por objeto a </w:t>
      </w:r>
      <w:r>
        <w:rPr>
          <w:b/>
          <w:bCs/>
          <w:color w:val="000000"/>
          <w:sz w:val="22"/>
          <w:szCs w:val="22"/>
        </w:rPr>
        <w:t>CONTRATAÇÃO DE EMPRESA ESPECIALIZADA PARA FORNECIMENTO E INSTALAÇÃO DE SISTEMA  DE SOM PARA O NOVO PLENÁRIO DA CÂMARA MUNICIPAL DE VEREADORES DE TRÊS PASSOS-RS</w:t>
      </w:r>
      <w:r>
        <w:rPr>
          <w:color w:val="000000"/>
          <w:sz w:val="22"/>
          <w:szCs w:val="22"/>
        </w:rPr>
        <w:t xml:space="preserve">, </w:t>
      </w:r>
      <w:r>
        <w:rPr>
          <w:rStyle w:val="Forte1"/>
          <w:b w:val="false"/>
          <w:bCs w:val="false"/>
          <w:color w:val="000000"/>
          <w:sz w:val="22"/>
          <w:szCs w:val="22"/>
        </w:rPr>
        <w:t>g</w:t>
      </w:r>
      <w:r>
        <w:rPr>
          <w:rStyle w:val="Forte1"/>
          <w:b w:val="false"/>
          <w:bCs w:val="false"/>
          <w:sz w:val="22"/>
          <w:szCs w:val="22"/>
        </w:rPr>
        <w:t>arantindo a qualidade do sistema de som do Novo Plenário da  Câmara Municipal de Três Passos.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b/>
          <w:bCs/>
          <w:sz w:val="22"/>
          <w:szCs w:val="22"/>
        </w:rPr>
        <w:t>2. FUNDAMENTAÇÃO DA CONTRATAÇÃO: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A presente contratação baseia-se no ETP n° 40/2025.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b/>
          <w:bCs/>
          <w:sz w:val="22"/>
          <w:szCs w:val="22"/>
        </w:rPr>
        <w:t>3. DESCRIÇÃO DA SOLUÇÃO COMO UM TODO:</w:t>
      </w:r>
    </w:p>
    <w:p>
      <w:pPr>
        <w:pStyle w:val="BodyText"/>
        <w:spacing w:lineRule="auto" w:line="276"/>
        <w:rPr/>
      </w:pPr>
      <w:r>
        <w:rPr>
          <w:rStyle w:val="Forte1"/>
          <w:rFonts w:cs="Times New Roman" w:ascii="Times New Roman" w:hAnsi="Times New Roman"/>
          <w:sz w:val="22"/>
          <w:szCs w:val="22"/>
        </w:rPr>
        <w:t xml:space="preserve">3.1. </w:t>
      </w:r>
      <w:r>
        <w:rPr>
          <w:rStyle w:val="Forte1"/>
          <w:rFonts w:cs="Times New Roman" w:ascii="Times New Roman" w:hAnsi="Times New Roman"/>
          <w:b w:val="false"/>
          <w:bCs w:val="false"/>
          <w:sz w:val="22"/>
          <w:szCs w:val="22"/>
        </w:rPr>
        <w:t>A solução proposta consiste na contratação, por meio de dispensa de licitação, de empresa especializada para fornecimento e instalação de sistema de som completo para o Novo Plenário da Câmara Municipal de Três Passos.</w:t>
      </w:r>
      <w:r>
        <w:rPr>
          <w:rFonts w:cs="Times New Roman" w:ascii="Times New Roman" w:hAnsi="Times New Roman"/>
          <w:sz w:val="22"/>
          <w:szCs w:val="22"/>
        </w:rPr>
        <w:t xml:space="preserve"> A iniciativa visa proporcionar maior qualidade ao som do Novo Plenário, garantindo a correta compreensão das discussões e assuntos pertinentes as sessões, reuniões e audiências públicas que serão realizadas nesse novo ambiente, após  a inauguração do prédio.</w:t>
      </w:r>
    </w:p>
    <w:p>
      <w:pPr>
        <w:pStyle w:val="BodyText"/>
        <w:spacing w:lineRule="auto" w:line="276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lineRule="auto" w:line="276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3.2</w:t>
      </w:r>
      <w:r>
        <w:rPr>
          <w:rFonts w:cs="Times New Roman" w:ascii="Times New Roman" w:hAnsi="Times New Roman"/>
          <w:sz w:val="22"/>
          <w:szCs w:val="22"/>
        </w:rPr>
        <w:t>. A contratação conjunta (de forma global) evita falhas de comunicação entre diferentes tecnologias, reduz o tempo de implantação e assegura que os dispositivos sejam instalados de forma padronizada, conforme as especificações exigidas pela Câmara. Essa abordagem também permite centralizar a responsabilidade técnica e contratual em um único prestador, facilitando o acompanhamento da execução, a fiscalização e eventuais manutenções corretivas ou preventivas durante a vigência contratual.</w:t>
      </w:r>
    </w:p>
    <w:p>
      <w:pPr>
        <w:pStyle w:val="BodyText"/>
        <w:spacing w:lineRule="auto" w:line="276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spacing w:lineRule="auto" w:line="276"/>
        <w:ind w:left="0"/>
        <w:rPr>
          <w:rFonts w:ascii="Times New Roman" w:hAnsi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lang w:eastAsia="en-US"/>
        </w:rPr>
        <w:t>4. REQUISITOS DA CONTRATAÇÃO:</w:t>
      </w:r>
    </w:p>
    <w:p>
      <w:pPr>
        <w:pStyle w:val="ListParagraph"/>
        <w:spacing w:lineRule="auto" w:line="276"/>
        <w:ind w:left="0"/>
        <w:rPr>
          <w:rFonts w:ascii="Times New Roman" w:hAnsi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lang w:eastAsia="en-US"/>
        </w:rPr>
        <w:t>4.1.</w:t>
      </w:r>
      <w:r>
        <w:rPr>
          <w:rFonts w:eastAsia="Calibri" w:cs="Times New Roman" w:ascii="Times New Roman" w:hAnsi="Times New Roman"/>
          <w:b/>
          <w:bCs/>
          <w:sz w:val="22"/>
          <w:szCs w:val="22"/>
          <w:lang w:eastAsia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ar-SA"/>
        </w:rPr>
        <w:t>Os equipamentos entregues pela empresa contratada deverão atender as seguintes especificações:</w:t>
      </w:r>
    </w:p>
    <w:tbl>
      <w:tblPr>
        <w:tblW w:w="9183" w:type="dxa"/>
        <w:jc w:val="left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6"/>
        <w:gridCol w:w="8397"/>
      </w:tblGrid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lineRule="auto" w:line="27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CAIXA DE SOM PROFISSIONAL ATIVA COM AMPLIFICADOR EMBUTIDO</w:t>
            </w:r>
          </w:p>
          <w:p>
            <w:pPr>
              <w:pStyle w:val="Default"/>
              <w:spacing w:lineRule="auto" w:line="27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Características: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Sistema Tipo: Duas vias 12" Amplificado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Gabinete: Polipropoleno Com Tela em Aço.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MAX SPL: 128 dB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Resposta de Frequência (±3 dB): 65Hz - 16,5Khz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Potência: 350 Watts RMS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Impedância de Entrada: 100k Ohm Balanceado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Padrão de Cobertura: 100o (Horizontal) x 60o (Vertical) Nominal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Bluetooth: Audio Streaming, Bluetooth Versão 5.0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DSP: 15 Presets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Conexões: 2 Entradas XLR/TRS combo mic/line, 1 Entrada Aux 3,5 mm ,1 Saida XLR Pass-thru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Suporte: 35 mm (Duplo Ângulo)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Profundidade: 355 (mm)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Largura: 365 (mm)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Altura: 639 (mm)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Peso Liquido: 15,9 Kg</w:t>
            </w:r>
          </w:p>
          <w:p>
            <w:pPr>
              <w:pStyle w:val="Default"/>
              <w:spacing w:lineRule="auto" w:line="27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 xml:space="preserve">•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Voltagem 220v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  <w:t xml:space="preserve">A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 xml:space="preserve"> Embalagem Deverá conter: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01 Caixa  350w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01 Cabo de Energia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Manual e Certificado de  Garantia de 12 meses</w:t>
            </w:r>
          </w:p>
        </w:tc>
      </w:tr>
      <w:tr>
        <w:trPr>
          <w:trHeight w:val="416" w:hRule="atLeast"/>
        </w:trPr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SUPORTE DE PAREDE PARA CAIXAS DE SOM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</w:rPr>
              <w:t xml:space="preserve"> (compatível com o modelo do 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Item 01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</w:rPr>
              <w:t>)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MICROFONE TSI MMF-302</w:t>
            </w:r>
          </w:p>
          <w:p>
            <w:pPr>
              <w:pStyle w:val="TableParagraph"/>
              <w:widowControl w:val="false"/>
              <w:spacing w:lineRule="auto" w:line="276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Características: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92" w:leader="none"/>
              </w:tabs>
              <w:spacing w:lineRule="auto" w:line="276" w:before="0" w:after="0"/>
              <w:ind w:hanging="0" w:left="55" w:right="52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Microfone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profissional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alta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sensibilidade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Phantom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7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Power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ou pilhas 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sistema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dá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Voz.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97" w:leader="none"/>
              </w:tabs>
              <w:spacing w:lineRule="auto" w:line="276" w:before="0" w:after="0"/>
              <w:ind w:hanging="0" w:left="55" w:right="51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base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para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mesa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suporte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flexível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cápsula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8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condensador,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saída XLR.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200" w:leader="none"/>
              </w:tabs>
              <w:spacing w:lineRule="auto" w:line="276" w:before="0" w:after="0"/>
              <w:ind w:hanging="145" w:left="199" w:righ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Cabo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 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metros plugue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XLR para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P-10.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223" w:leader="none"/>
              </w:tabs>
              <w:spacing w:lineRule="auto" w:line="276" w:before="0" w:after="0"/>
              <w:ind w:hanging="0" w:left="55" w:right="55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Led de cor vermelha próximo à cápsula, que acende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quando o microfone é acionado e chama a atenção do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operador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para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 mesmo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acionar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 canal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respectivo.</w:t>
            </w:r>
          </w:p>
          <w:p>
            <w:pPr>
              <w:pStyle w:val="TableParagraph"/>
              <w:widowControl w:val="false"/>
              <w:spacing w:lineRule="auto" w:line="276"/>
              <w:ind w:hanging="0" w:left="55" w:righ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Especificações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Técnicas: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219" w:leader="none"/>
              </w:tabs>
              <w:spacing w:lineRule="auto" w:line="276" w:before="0" w:after="0"/>
              <w:ind w:hanging="0" w:left="55" w:right="49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Alimentação: 9-52V DC Phantom Power ou 2 pilhas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1.5V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200" w:leader="none"/>
              </w:tabs>
              <w:spacing w:lineRule="auto" w:line="276" w:before="0" w:after="0"/>
              <w:ind w:hanging="145" w:left="199" w:righ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Altura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conjunto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(Haste+Base+Espuma)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cm.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200" w:leader="none"/>
              </w:tabs>
              <w:spacing w:lineRule="auto" w:line="276" w:before="0" w:after="0"/>
              <w:ind w:hanging="145" w:left="199" w:righ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Cápsula: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Condensador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Eletreto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200" w:leader="none"/>
              </w:tabs>
              <w:spacing w:lineRule="auto" w:line="276" w:before="0" w:after="0"/>
              <w:ind w:hanging="145" w:left="199" w:right="0"/>
              <w:jc w:val="left"/>
              <w:rPr>
                <w:sz w:val="22"/>
                <w:szCs w:val="22"/>
              </w:rPr>
            </w:pP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Comprimento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da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Haste de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41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cm.</w:t>
            </w:r>
          </w:p>
        </w:tc>
      </w:tr>
      <w:tr>
        <w:trPr>
          <w:trHeight w:val="468" w:hRule="atLeast"/>
        </w:trPr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CABO DE MICROFONE 2X0,30MM BLINDADO</w:t>
            </w:r>
          </w:p>
        </w:tc>
      </w:tr>
      <w:tr>
        <w:trPr>
          <w:trHeight w:val="468" w:hRule="atLeast"/>
        </w:trPr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CABO MULTI VIAS COM MEDUSA – 20 VIAS-20 METROS</w:t>
            </w:r>
          </w:p>
        </w:tc>
      </w:tr>
      <w:tr>
        <w:trPr>
          <w:trHeight w:val="468" w:hRule="atLeast"/>
        </w:trPr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CONECTORES XLR</w:t>
            </w:r>
          </w:p>
        </w:tc>
      </w:tr>
      <w:tr>
        <w:trPr>
          <w:trHeight w:val="468" w:hRule="atLeast"/>
        </w:trPr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MÃO DE OBRA PARA INSTALAÇÃO DE TODO O SISTEMA DE SOM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Forte1"/>
          <w:rFonts w:eastAsia="Calibri" w:cs="Times New Roman" w:ascii="Times New Roman" w:hAnsi="Times New Roman"/>
          <w:sz w:val="22"/>
          <w:szCs w:val="22"/>
        </w:rPr>
        <w:t>4.</w:t>
      </w:r>
      <w:r>
        <w:rPr>
          <w:rStyle w:val="Forte1"/>
          <w:rFonts w:eastAsia="Calibri" w:cs="Times New Roman" w:ascii="Times New Roman" w:hAnsi="Times New Roman"/>
          <w:sz w:val="22"/>
          <w:szCs w:val="22"/>
        </w:rPr>
        <w:t>2</w:t>
      </w:r>
      <w:r>
        <w:rPr>
          <w:rStyle w:val="Forte1"/>
          <w:rFonts w:eastAsia="Calibri" w:cs="Times New Roman" w:ascii="Times New Roman" w:hAnsi="Times New Roman"/>
          <w:sz w:val="22"/>
          <w:szCs w:val="22"/>
        </w:rPr>
        <w:t xml:space="preserve">. </w:t>
      </w:r>
      <w:r>
        <w:rPr>
          <w:rStyle w:val="Forte1"/>
          <w:rFonts w:eastAsia="Calibri" w:cs="Times New Roman" w:ascii="Times New Roman" w:hAnsi="Times New Roman"/>
          <w:b w:val="false"/>
          <w:bCs w:val="false"/>
          <w:sz w:val="22"/>
          <w:szCs w:val="22"/>
        </w:rPr>
        <w:t xml:space="preserve">A contratação será realizada na forma de </w:t>
      </w:r>
      <w:r>
        <w:rPr>
          <w:rStyle w:val="Forte1"/>
          <w:rFonts w:eastAsia="Calibri" w:cs="Times New Roman" w:ascii="Times New Roman" w:hAnsi="Times New Roman"/>
          <w:b/>
          <w:bCs/>
          <w:sz w:val="22"/>
          <w:szCs w:val="22"/>
        </w:rPr>
        <w:t>menor preço global</w:t>
      </w:r>
      <w:r>
        <w:rPr>
          <w:rStyle w:val="Forte1"/>
          <w:rFonts w:eastAsia="Calibri" w:cs="Times New Roman" w:ascii="Times New Roman" w:hAnsi="Times New Roman"/>
          <w:b w:val="false"/>
          <w:bCs w:val="false"/>
          <w:sz w:val="22"/>
          <w:szCs w:val="22"/>
        </w:rPr>
        <w:t>, por meio de dispensa de licitação, com fundamento no art. 75, inciso II, da Lei nº 14.133/202, com critério de julgamento no menor preço, para a contratação de bens e serviços de pequeno valor, respeitados os limites legais e os requisitos formais estabelecidos na legislação vigente. A medida atende aos princípios da legalidade, eficiência, economicidade e interesse público, oferecendo uma solução ágil, técnica e eficaz para suprir a necessidade premente de segurança no novo espaço institucional e aprimorar o sistema já existente.</w:t>
      </w:r>
    </w:p>
    <w:p>
      <w:pPr>
        <w:pStyle w:val="BodyText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sz w:val="22"/>
          <w:szCs w:val="22"/>
        </w:rPr>
      </w:pP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Forte1"/>
          <w:rFonts w:eastAsia="Calibri" w:cs="Times New Roman" w:ascii="Times New Roman" w:hAnsi="Times New Roman"/>
          <w:sz w:val="22"/>
          <w:szCs w:val="22"/>
        </w:rPr>
        <w:t>4.</w:t>
      </w:r>
      <w:r>
        <w:rPr>
          <w:rStyle w:val="Forte1"/>
          <w:rFonts w:eastAsia="Calibri" w:cs="Times New Roman" w:ascii="Times New Roman" w:hAnsi="Times New Roman"/>
          <w:sz w:val="22"/>
          <w:szCs w:val="22"/>
        </w:rPr>
        <w:t>3</w:t>
      </w:r>
      <w:r>
        <w:rPr>
          <w:rStyle w:val="Forte1"/>
          <w:rFonts w:eastAsia="Calibri" w:cs="Times New Roman" w:ascii="Times New Roman" w:hAnsi="Times New Roman"/>
          <w:sz w:val="22"/>
          <w:szCs w:val="22"/>
        </w:rPr>
        <w:t>.</w:t>
      </w:r>
      <w:r>
        <w:rPr>
          <w:rFonts w:eastAsia="Calibri" w:cs="Times New Roman" w:ascii="Times New Roman" w:hAnsi="Times New Roman"/>
          <w:sz w:val="22"/>
          <w:szCs w:val="22"/>
        </w:rPr>
        <w:t xml:space="preserve"> Para participação no processo de contratação por dispensa de licitação, os interessados deverão comprovar que exercem atividade econômica compatível com o objeto licitado, mediante apresentação do Cadastro Nacional da Pessoa Jurídica (CNPJ) atualizado, além dos documentos exigidos para habilitação, conforme o disposto no art. 62 da Lei Federal nº 14.133/2021. Isso inclui, quando aplicável, comprovação de regularidade fiscal e trabalhista, qualificação técnica e econômico-financeira.</w:t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Forte1"/>
          <w:rFonts w:eastAsia="Calibri" w:cs="Times New Roman" w:ascii="Times New Roman" w:hAnsi="Times New Roman"/>
          <w:sz w:val="22"/>
          <w:szCs w:val="22"/>
        </w:rPr>
        <w:t>4.</w:t>
      </w:r>
      <w:r>
        <w:rPr>
          <w:rStyle w:val="Forte1"/>
          <w:rFonts w:eastAsia="Calibri" w:cs="Times New Roman" w:ascii="Times New Roman" w:hAnsi="Times New Roman"/>
          <w:sz w:val="22"/>
          <w:szCs w:val="22"/>
        </w:rPr>
        <w:t>4</w:t>
      </w:r>
      <w:r>
        <w:rPr>
          <w:rStyle w:val="Forte1"/>
          <w:rFonts w:eastAsia="Calibri" w:cs="Times New Roman" w:ascii="Times New Roman" w:hAnsi="Times New Roman"/>
          <w:sz w:val="22"/>
          <w:szCs w:val="22"/>
        </w:rPr>
        <w:t>.</w:t>
      </w:r>
      <w:r>
        <w:rPr>
          <w:rFonts w:eastAsia="Calibri" w:cs="Times New Roman" w:ascii="Times New Roman" w:hAnsi="Times New Roman"/>
          <w:sz w:val="22"/>
          <w:szCs w:val="22"/>
        </w:rPr>
        <w:t xml:space="preserve"> Os serviços e produtos deverão ser entregues conforme especificações técnicas constantes no Termo de Referência e nas condições pactuadas no contrato, devendo o prazo de execução respeitar os limites previamente estabelecidos para cada lote contratado.</w:t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Forte1"/>
          <w:rFonts w:eastAsia="Calibri" w:cs="Times New Roman" w:ascii="Times New Roman" w:hAnsi="Times New Roman"/>
          <w:sz w:val="22"/>
          <w:szCs w:val="22"/>
        </w:rPr>
        <w:t>4.</w:t>
      </w:r>
      <w:r>
        <w:rPr>
          <w:rStyle w:val="Forte1"/>
          <w:rFonts w:eastAsia="Calibri" w:cs="Times New Roman" w:ascii="Times New Roman" w:hAnsi="Times New Roman"/>
          <w:sz w:val="22"/>
          <w:szCs w:val="22"/>
        </w:rPr>
        <w:t>5</w:t>
      </w:r>
      <w:r>
        <w:rPr>
          <w:rStyle w:val="Forte1"/>
          <w:rFonts w:eastAsia="Calibri" w:cs="Times New Roman" w:ascii="Times New Roman" w:hAnsi="Times New Roman"/>
          <w:sz w:val="22"/>
          <w:szCs w:val="22"/>
        </w:rPr>
        <w:t>.</w:t>
      </w:r>
      <w:r>
        <w:rPr>
          <w:rFonts w:eastAsia="Calibri" w:cs="Times New Roman"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 valor ofertado deverá contemplar todos os custos diretos e indiretos necessários ao pleno fornecimento e à execução dos serviços, incluindo </w:t>
      </w:r>
      <w:r>
        <w:rPr>
          <w:rStyle w:val="Forte1"/>
          <w:rFonts w:ascii="Times New Roman" w:hAnsi="Times New Roman"/>
          <w:b w:val="false"/>
          <w:bCs w:val="false"/>
          <w:sz w:val="22"/>
          <w:szCs w:val="22"/>
        </w:rPr>
        <w:t>mão de obra, materiais, encargos trabalhistas e previdenciários, tributos, despesas logísticas, deslocamentos, seguros, garantias e demais encargos incidentes, não sendo admitida qualquer cobrança adicional posterior.</w:t>
      </w:r>
      <w:r>
        <w:rPr>
          <w:rFonts w:ascii="Times New Roman" w:hAnsi="Times New Roman"/>
          <w:sz w:val="22"/>
          <w:szCs w:val="22"/>
        </w:rPr>
        <w:t xml:space="preserve"> </w:t>
        <w:br/>
      </w:r>
      <w:r>
        <w:rPr>
          <w:rFonts w:ascii="Times New Roman" w:hAnsi="Times New Roman"/>
          <w:b/>
          <w:bCs/>
          <w:color w:val="000000"/>
          <w:sz w:val="22"/>
          <w:szCs w:val="22"/>
        </w:rPr>
        <w:t>4.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6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Os equipamentos a serem fornecidos deverão ser compatíveis com a mesa de som existente na já existente na Câmara Municipal, permitindo integração e operação conjunta sem prejuízo à funcionalidade ou ao desempenho. A contratada será responsável por assegurar essa compatibilidade, cabendo-lhe, se necessário, realizar os ajustes técnicos para a perfeita comunicação entre os dispositivos.</w:t>
      </w:r>
    </w:p>
    <w:p>
      <w:pPr>
        <w:pStyle w:val="BodyText"/>
        <w:spacing w:lineRule="auto" w:line="276" w:before="0" w:after="200"/>
        <w:contextualSpacing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</w:t>
      </w:r>
      <w:r>
        <w:rPr>
          <w:rFonts w:ascii="Times New Roman" w:hAnsi="Times New Roman"/>
          <w:b/>
          <w:bCs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. A contratada poderá realizar visita técnica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prévia, ou inspeção técnica virtual previamente agendada, para conhecimento das instalações físicas, pontos de instalação, infraestrutura existente e requisitos específicos de integração, de forma a garantir a adequada execução do objeto e a elaboração de plano de trabalho compatível com as condições reais do local.</w:t>
      </w:r>
    </w:p>
    <w:p>
      <w:pPr>
        <w:pStyle w:val="BodyText"/>
        <w:spacing w:lineRule="auto" w:line="276" w:before="0" w:after="20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spacing w:lineRule="auto" w:line="276" w:before="0" w:after="20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spacing w:lineRule="auto" w:line="276"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bCs/>
          <w:sz w:val="22"/>
          <w:szCs w:val="22"/>
        </w:rPr>
        <w:t>4.8. OBRIGAÇÕES TÉCNICAS DAS EMPRESAS CONTRATADAS</w:t>
      </w:r>
      <w:r>
        <w:rPr>
          <w:rFonts w:eastAsia="Calibri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</w:r>
    </w:p>
    <w:p>
      <w:pPr>
        <w:pStyle w:val="Heading4"/>
        <w:spacing w:lineRule="auto" w:line="276"/>
        <w:ind w:left="0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>4.8.1. Obrigações da empresa fornecedora e instaladora dos equipamentos de som</w:t>
      </w:r>
    </w:p>
    <w:p>
      <w:pPr>
        <w:pStyle w:val="BodyText"/>
        <w:spacing w:lineRule="auto" w:line="276" w:before="0" w:after="55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4.8.1.1 A contratada será responsável por fornecer e instalar todos os equipamentos conforme as especificações técnicas exigidas, assegurando seu funcionamento pleno e adequado.</w:t>
      </w:r>
    </w:p>
    <w:p>
      <w:pPr>
        <w:pStyle w:val="BodyText"/>
        <w:spacing w:lineRule="auto" w:line="276"/>
        <w:rPr/>
      </w:pPr>
      <w:r>
        <w:rPr>
          <w:rFonts w:ascii="Times New Roman" w:hAnsi="Times New Roman"/>
          <w:sz w:val="22"/>
          <w:szCs w:val="22"/>
        </w:rPr>
        <w:t xml:space="preserve">4.8.1.2 Todos os equipamentos fornecidos deverão possuir </w:t>
      </w:r>
      <w:r>
        <w:rPr>
          <w:rStyle w:val="Forte1"/>
          <w:rFonts w:ascii="Times New Roman" w:hAnsi="Times New Roman"/>
          <w:b w:val="false"/>
          <w:bCs w:val="false"/>
          <w:sz w:val="22"/>
          <w:szCs w:val="22"/>
        </w:rPr>
        <w:t>garantia mínima de 12 (doze) meses</w:t>
      </w:r>
      <w:r>
        <w:rPr>
          <w:rFonts w:ascii="Times New Roman" w:hAnsi="Times New Roman"/>
          <w:sz w:val="22"/>
          <w:szCs w:val="22"/>
        </w:rPr>
        <w:t xml:space="preserve"> contra defeitos de fabricação. Durante esse período, </w:t>
      </w:r>
      <w:r>
        <w:rPr>
          <w:rStyle w:val="Forte1"/>
          <w:rFonts w:ascii="Times New Roman" w:hAnsi="Times New Roman"/>
          <w:b w:val="false"/>
          <w:bCs w:val="false"/>
          <w:sz w:val="22"/>
          <w:szCs w:val="22"/>
        </w:rPr>
        <w:t>qualquer substituição ou reparo será de responsabilidade da contratada, sem custo adicional à CONTRATANTE.</w:t>
      </w:r>
    </w:p>
    <w:p>
      <w:pPr>
        <w:pStyle w:val="BodyText"/>
        <w:spacing w:lineRule="auto" w:line="276"/>
        <w:rPr/>
      </w:pPr>
      <w:r>
        <w:rPr>
          <w:rFonts w:ascii="Times New Roman" w:hAnsi="Times New Roman"/>
          <w:sz w:val="22"/>
          <w:szCs w:val="22"/>
        </w:rPr>
        <w:t xml:space="preserve">4.8.1.3 A substituição ou reparo de equipamento defeituoso deverá ocorrer </w:t>
      </w:r>
      <w:r>
        <w:rPr>
          <w:rStyle w:val="Forte1"/>
          <w:rFonts w:ascii="Times New Roman" w:hAnsi="Times New Roman"/>
          <w:b w:val="false"/>
          <w:bCs w:val="false"/>
          <w:sz w:val="22"/>
          <w:szCs w:val="22"/>
        </w:rPr>
        <w:t>em até 48 (quarenta e oito) horas após a notificação da CONTRATANTE.</w:t>
      </w:r>
    </w:p>
    <w:p>
      <w:pPr>
        <w:pStyle w:val="BodyText"/>
        <w:spacing w:lineRule="auto" w:line="276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4.8.1.4 Quando identificada a necessidade de substituição de equipamento fora da garantia, a contratada deverá comunicar formalmente à CONTRATANTE, apresentando laudo técnico com justificativa.</w:t>
      </w:r>
    </w:p>
    <w:p>
      <w:pPr>
        <w:pStyle w:val="BodyText"/>
        <w:spacing w:lineRule="auto" w:line="276" w:before="0" w:after="28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4.8.1.5 A contratada deverá garantir que todos os equipamentos estejam instalados e ativados de modo que possibilitem a imediata utilização do sistema de sonorização pela Câmara Municipal.</w:t>
      </w:r>
    </w:p>
    <w:p>
      <w:pPr>
        <w:pStyle w:val="BodyText"/>
        <w:spacing w:lineRule="auto" w:line="276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</w:t>
      </w:r>
      <w:r>
        <w:rPr>
          <w:rFonts w:ascii="Times New Roman" w:hAnsi="Times New Roman"/>
          <w:b/>
          <w:bCs/>
          <w:sz w:val="22"/>
          <w:szCs w:val="22"/>
        </w:rPr>
        <w:t>MODELO DE EXECUÇÃO DO OBJETO:</w:t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Forte1"/>
          <w:rFonts w:eastAsia="Calibri" w:cs="Times New Roman" w:ascii="Times New Roman" w:hAnsi="Times New Roman"/>
          <w:sz w:val="22"/>
          <w:szCs w:val="22"/>
          <w:lang w:eastAsia="ar-SA"/>
        </w:rPr>
        <w:t>5.1. Empresa responsável pela aquisição e instalação dos equipamentos de som</w:t>
      </w:r>
    </w:p>
    <w:p>
      <w:pPr>
        <w:pStyle w:val="BodyText"/>
        <w:spacing w:lineRule="auto" w:line="276"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>5.1.1. A empresa contratada será responsável pela entrega e instalação dos equipamentos de som diretamente na sede da Câmara Municipal de Vereadores de Três Passos-RS, situada na Rua Salgado Filho, nº 79, Centro, Três Passos/RS.</w:t>
      </w:r>
    </w:p>
    <w:p>
      <w:pPr>
        <w:pStyle w:val="BodyText"/>
        <w:spacing w:lineRule="auto" w:line="276"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>5.1.2. O valor contratado deverá contemplar todos os custos necessários à completa execução do objeto, incluindo transporte, mão de obra, materiais, tributos, encargos trabalhistas e demais despesas, não sendo admitido qualquer custo adicional.</w:t>
      </w:r>
    </w:p>
    <w:p>
      <w:pPr>
        <w:pStyle w:val="BodyText"/>
        <w:spacing w:lineRule="auto" w:line="276"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>5.1.3. Todos os equipamentos deverão ser entregues em perfeito estado de conservação e funcionamento, devidamente embalados, com nota fiscal, manuais de instrução em português, certificados de garantia e todos os acessórios originais de fábrica, de modo a garantir sua imediata utilização, durabilidade e eficiência.</w:t>
      </w:r>
    </w:p>
    <w:p>
      <w:pPr>
        <w:pStyle w:val="BodyText"/>
        <w:spacing w:lineRule="auto" w:line="276"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5.1.4. O prazo máximo para entrega e instalação dos itens  será de </w:t>
      </w:r>
      <w:r>
        <w:rPr>
          <w:rFonts w:eastAsia="Calibri" w:cs="Times New Roman" w:ascii="Times New Roman" w:hAnsi="Times New Roman"/>
          <w:b/>
          <w:bCs/>
          <w:sz w:val="22"/>
          <w:szCs w:val="22"/>
          <w:lang w:eastAsia="ar-SA"/>
        </w:rPr>
        <w:t>até 20  (vinte) dias corridos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>, contados a partir da emissão da nota de empenho ou da assinatura do contrato, conforme o que ocorrer por último.</w:t>
      </w:r>
    </w:p>
    <w:p>
      <w:pPr>
        <w:pStyle w:val="BodyText"/>
        <w:spacing w:lineRule="auto" w:line="276"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5.1.5. Em caso de defeito de fabricação ou falha de funcionamento constatado no momento da entrega ou durante o período de garantia, a contratada deverá providenciar a substituição ou o reparo do equipamento defeituoso no prazo máximo de </w:t>
      </w:r>
      <w:r>
        <w:rPr>
          <w:rFonts w:eastAsia="Calibri" w:cs="Times New Roman" w:ascii="Times New Roman" w:hAnsi="Times New Roman"/>
          <w:b/>
          <w:bCs/>
          <w:sz w:val="22"/>
          <w:szCs w:val="22"/>
          <w:lang w:eastAsia="ar-SA"/>
        </w:rPr>
        <w:t>48 (quarenta e oito) horas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>, a contar da notificação formal da Câmara Municipal, sem qualquer ônus adicional para a contratante.</w:t>
      </w:r>
    </w:p>
    <w:p>
      <w:pPr>
        <w:pStyle w:val="BodyText"/>
        <w:spacing w:lineRule="auto" w:line="276"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>5.1.6. Todos os equipamentos fornecidos deverão estar em conformidade com as especificações técnicas exigidas neste Termo de Referência e com as normas de segurança e eficiência energética previstas por órgãos reguladores, especialmente o INMETRO, quando aplicável.</w:t>
        <w:br/>
        <w:t>5.1.7. Caberá à contratada a responsabilidade pela correta instalação dos equipamentos, inclusive a execução de pequenos ajustes técnicos ou adaptações necessárias para a fixação, funcionamento e integração dos dispositivos ao sistema existente, sem custos adicionais para a contratante.</w:t>
        <w:br/>
        <w:t>5.1.8. Após a instalação, deverão ser realizados testes completos de funcionamento dos equipamentos, com acompanhamento da fiscalização da Câmara Municipal. A aceitação definitiva somente ocorrerá após a validação técnica dos resultados e emissão de relatório de conformidade.</w:t>
        <w:br/>
        <w:t>5.1.9. A contratada será responsável por quaisquer danos causados ao patrimônio da Câmara Municipal durante a entrega, instalação ou configuração dos equipamentos, devendo reparar ou indenizar eventuais prejuízos decorrentes de sua atuação.</w:t>
      </w:r>
    </w:p>
    <w:p>
      <w:pPr>
        <w:pStyle w:val="BodyText"/>
        <w:spacing w:lineRule="auto" w:line="276"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>5.1.10. A contratada deverá fornecer, após a instalação dos equipamentos, orientação básica aos servidores indicados pela Câmara sobre o funcionamento do sistema instalado, incluindo acionamento/desarme de alarme, interpretação de alertas e acionamento de suporte.</w:t>
      </w:r>
    </w:p>
    <w:p>
      <w:pPr>
        <w:pStyle w:val="Normal"/>
        <w:suppressAutoHyphens w:val="false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5.2. Do Pagamento e dos Critérios de atualização Monetária</w:t>
      </w:r>
    </w:p>
    <w:p>
      <w:pPr>
        <w:pStyle w:val="Normal"/>
        <w:suppressAutoHyphens w:val="false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pagamento será efetuado em até </w:t>
      </w:r>
      <w:r>
        <w:rPr>
          <w:b/>
          <w:bCs/>
          <w:sz w:val="22"/>
          <w:szCs w:val="22"/>
        </w:rPr>
        <w:t>15 (quinze) dias</w:t>
      </w:r>
      <w:r>
        <w:rPr>
          <w:sz w:val="22"/>
          <w:szCs w:val="22"/>
        </w:rPr>
        <w:t xml:space="preserve"> após a entrega total do objeto por empenho, mediante apresentação do documento fiscal correspondente ao objeto contratado e conferência e atestado de recebimento do objeto pelo fiscal do contrato. </w:t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ind w:left="567" w:right="0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§ 1º Considera-se ocorrido o recebimento da nota fiscal ou fatura no momento em que o órgão contratante atestar a execução do objeto do contrato.</w:t>
      </w:r>
    </w:p>
    <w:p>
      <w:pPr>
        <w:pStyle w:val="Normal"/>
        <w:tabs>
          <w:tab w:val="clear" w:pos="709"/>
          <w:tab w:val="left" w:pos="567" w:leader="none"/>
        </w:tabs>
        <w:suppressAutoHyphens w:val="false"/>
        <w:spacing w:lineRule="auto" w:line="276"/>
        <w:ind w:left="567" w:right="0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§ 2º 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left="567" w:right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§ 3º </w:t>
      </w:r>
      <w:r>
        <w:rPr>
          <w:rFonts w:eastAsia="Calibri"/>
          <w:color w:val="000000"/>
          <w:sz w:val="22"/>
          <w:szCs w:val="22"/>
        </w:rPr>
        <w:t>Quando do pagamento, será efetuada a retenção tributária prevista na legislação aplicável.</w:t>
      </w:r>
    </w:p>
    <w:p>
      <w:pPr>
        <w:pStyle w:val="Normal"/>
        <w:suppressAutoHyphens w:val="false"/>
        <w:spacing w:lineRule="auto" w:line="276"/>
        <w:ind w:left="567" w:right="0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§ 4º Nos casos de eventuais atrasos de pagamento, desde que a Contratada não tenha concorrido, de alguma forma, para tanto, fica convencionado que os valores serão atualizados pelo INPC do período. </w:t>
      </w:r>
    </w:p>
    <w:p>
      <w:pPr>
        <w:pStyle w:val="Normal"/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5.3. Da vigência contratual e prazo de execução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O presente instrumento terá vigência até  31/12/2025.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§ 1º </w:t>
      </w:r>
      <w:r>
        <w:rPr>
          <w:b/>
          <w:sz w:val="22"/>
          <w:szCs w:val="22"/>
        </w:rPr>
        <w:t>O prazo de execução é de</w:t>
      </w:r>
      <w:r>
        <w:rPr>
          <w:b/>
          <w:bCs/>
          <w:sz w:val="22"/>
          <w:szCs w:val="22"/>
        </w:rPr>
        <w:t xml:space="preserve"> 20 (vinte) dias </w:t>
      </w:r>
      <w:r>
        <w:rPr>
          <w:b/>
          <w:sz w:val="22"/>
          <w:szCs w:val="22"/>
        </w:rPr>
        <w:t>a contar do recebimento da solicitação de fornecimento/empenho.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§ 2º </w:t>
      </w:r>
      <w:r>
        <w:rPr>
          <w:sz w:val="22"/>
          <w:szCs w:val="22"/>
        </w:rPr>
        <w:t>Qualquer alteração no prazo suprarreferido dependerá de prévia aprovação, por escrito, do Contratante.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5.4. Reajuste, repactuação e reequilíbrio</w:t>
        <w:tab/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contrato será reajustado, nos termos do art. 25 da Lei Federal 14.133/2021 </w:t>
      </w:r>
      <w:r>
        <w:rPr>
          <w:color w:val="000000"/>
          <w:sz w:val="22"/>
          <w:szCs w:val="22"/>
        </w:rPr>
        <w:t xml:space="preserve">e do Decreto Municipal 34/2023, observado o interregno mínimo de um ano, a contar da data-base do orçamento estimado, mediante solicitação do contratado.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§ 1º  Para fins de reajuste, levar-se à como data base a data do orçamento estimado, ou da planilha orçamentária constante do processo administrativo ou do Termo de Referência.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2º Nos reajustes subsequentes ao primeiro, o interregno mínimo de um ano será contado a partir dos efeitos financeiros do último reajuste.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§ 3º  O valor do contrato será reajustado pelo INPC, obedecendo-se a metodologia de cálculo adequada para sua atualização.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§ 4º Quando, antes da data do reajustamento, já tiver ocorrido a revisão do contrato para a manutenção do seu equilíbrio econômico-financeiro, será a revisão considerada à ocasião do reajuste, para evitar acumulação injustificada.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5º A revisão de contrato ou reequilíbrio econômico-financeiro decorre da imprevisão, consiste em um fato imprevisível ou previsível de consequências incalculáveis, anormal e extraordinário, que poderá ser concedido a qualquer tempo, e para sua concessão devem ser verificados os seguintes requisitos: 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2"/>
          <w:szCs w:val="22"/>
        </w:rPr>
      </w:pPr>
      <w:r>
        <w:rPr>
          <w:sz w:val="22"/>
          <w:szCs w:val="22"/>
        </w:rPr>
        <w:t>a) evento futuro e incerto;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evento ocorrido após a apresentação da proposta; 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2"/>
          <w:szCs w:val="22"/>
        </w:rPr>
      </w:pPr>
      <w:r>
        <w:rPr>
          <w:sz w:val="22"/>
          <w:szCs w:val="22"/>
        </w:rPr>
        <w:t>c) o evento não pode ocorrer por culpa da contratada;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possibilidade de revisão seja aventada pela contratada ou pela contratante; 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2"/>
          <w:szCs w:val="22"/>
        </w:rPr>
      </w:pPr>
      <w:r>
        <w:rPr>
          <w:sz w:val="22"/>
          <w:szCs w:val="22"/>
        </w:rPr>
        <w:t>e) modificação consubstancial nas condições contratadas;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haja nexo causal entre a alteração dos custos com o evento ocorrido e a necessidade de recomposição da remuneração correspondente em função da majoração ou minoração dos encargos da contratada. 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demonstração da quebra de equilíbrio econômico-financeiro do contrato, por meio de apresentação de planilha de custos e documentação comprobatória correlata que demonstre que a contratação se tornou inviável nas condições inicialmente pactuadas.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§ 6º O pedido de restabelecimento do equilíbrio econômico-financeiro deverá ser formulado durante a vigência deste instrumento e antes de eventual prorrogação.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7º A contratada, para fazer jus ao equilíbrio econômico-financeiro, deverá apresentar em até 10(dez) dias após a assinatura deste instrumento planilha de custos elaborada pelo contador/técnico contábil da empresa e documentos comprobatórios dos preços apresentados. A falta da apresentação desta poderá ensejar o indeferimento do pedido pelo setor de contabilidade.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§ 8º Solicitada repactuação ou o reequilíbrio econômico-financeiro do contrato, fica o contratante obrigado a responder em até 30 (trinta) dias da data do requerimento.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§ 9º O não cumprimento do prazo constante no item § 8º desta cláusula não implica em deferimento do pedido por parte do contratante. </w:t>
      </w:r>
      <w:r>
        <w:rPr>
          <w:sz w:val="22"/>
          <w:szCs w:val="22"/>
        </w:rPr>
        <w:t>Todos os documentos necessários à apreciação do pedido deverão ser apresentados juntamente com o requerimento.</w:t>
        <w:tab/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5.5 Garantia de Execução</w:t>
      </w:r>
    </w:p>
    <w:p>
      <w:pPr>
        <w:pStyle w:val="Normal"/>
        <w:spacing w:lineRule="auto" w:line="276"/>
        <w:ind w:left="425" w:right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Para a presente contratação não haverá exigência de garantia de execução tendo em vista que o objeto somente será pago após a sua entrega. </w:t>
      </w:r>
    </w:p>
    <w:p>
      <w:pPr>
        <w:pStyle w:val="Normal"/>
        <w:spacing w:lineRule="auto" w:line="276"/>
        <w:ind w:left="425" w:right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/>
        <w:ind w:hanging="397" w:left="397" w:right="0"/>
        <w:jc w:val="both"/>
        <w:rPr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5.6. Das Obrigações da contratante e da contratada</w:t>
      </w:r>
    </w:p>
    <w:p>
      <w:pPr>
        <w:pStyle w:val="Normal"/>
        <w:spacing w:lineRule="auto" w:line="276"/>
        <w:ind w:left="425" w:right="0"/>
        <w:jc w:val="both"/>
        <w:rPr>
          <w:rFonts w:ascii="Times New Roman" w:hAnsi="Times New Roman"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</w:r>
    </w:p>
    <w:p>
      <w:pPr>
        <w:pStyle w:val="Normal"/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§ 1º São obrigações da Contratante:</w:t>
      </w:r>
    </w:p>
    <w:p>
      <w:pPr>
        <w:pStyle w:val="Normal"/>
        <w:spacing w:lineRule="auto" w:line="276"/>
        <w:ind w:left="405" w:right="0"/>
        <w:jc w:val="both"/>
        <w:rPr>
          <w:rFonts w:ascii="Times New Roman" w:hAnsi="Times New Roman"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Receber o objeto no prazo e condições estabelecidas no Edital e seus anexos;</w:t>
      </w:r>
      <w:r>
        <w:rPr>
          <w:sz w:val="22"/>
          <w:szCs w:val="22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Verificar minuciosamente, no prazo fixado, a conformidade dos bens recebidos provisoriamente com as especificações constantes do Edital e da proposta, para fins de aceitação e recebimento definitivo;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Comunicar à Contratada, por escrito, sobre imperfeições, falhas ou irregularidades verificadas no objeto fornecido, para que seja substituído, reparado ou corrigido;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Acompanhar e fiscalizar o cumprimento das obrigações da Contratada, através de comissão/servidor especialmente designado;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Efetuar o pagamento à Contratada</w:t>
      </w:r>
      <w:r>
        <w:rPr>
          <w:rFonts w:eastAsia="Calibri"/>
          <w:b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no valor correspondente ao fornecimento do objeto, no prazo e forma estabelecidos no Edital e seus anexos, observada a ordem cronológica para cada fonte diferenciada de recursos, nos termos do art. 141 da Lei nº 14.133/2021;</w:t>
      </w:r>
      <w:r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 Administração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>
      <w:pPr>
        <w:pStyle w:val="Normal"/>
        <w:tabs>
          <w:tab w:val="clear" w:pos="709"/>
          <w:tab w:val="left" w:pos="2070" w:leader="none"/>
        </w:tabs>
        <w:spacing w:lineRule="auto" w:line="27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ab/>
      </w:r>
    </w:p>
    <w:p>
      <w:pPr>
        <w:pStyle w:val="Normal"/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§ 2º São obrigações da contratada: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 xml:space="preserve">I - </w:t>
      </w:r>
      <w:r>
        <w:rPr>
          <w:rFonts w:eastAsia="Calibri"/>
          <w:color w:val="000000"/>
          <w:sz w:val="22"/>
          <w:szCs w:val="22"/>
        </w:rPr>
        <w:t>Efetuar a entrega do objeto em perfeitas condições, conforme especificações, prazo e local constantes no Termo de Referência e seus anexos, acompanhado da respectiva nota fiscal, na qual constarão as indicações referentes a: marca, procedência e prazo de validade;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II -</w:t>
      </w:r>
      <w:r>
        <w:rPr>
          <w:rFonts w:eastAsia="Calibri"/>
          <w:sz w:val="22"/>
          <w:szCs w:val="22"/>
        </w:rPr>
        <w:t xml:space="preserve"> Responsabilizar-se pelos vícios e danos decorrentes do objeto, de acordo com os artigos 12, 13 e 17 a 27, do Código de Defesa do Consumidor (Lei nº 8.078, de 1990);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III -</w:t>
      </w:r>
      <w:r>
        <w:rPr>
          <w:rFonts w:eastAsia="Calibri"/>
          <w:sz w:val="22"/>
          <w:szCs w:val="22"/>
        </w:rPr>
        <w:t xml:space="preserve"> Responsabilizar-se pelos danos causados diretamente à Administração ou a terceiros em razão da execução do contrato;</w:t>
      </w:r>
      <w:r>
        <w:rPr>
          <w:sz w:val="22"/>
          <w:szCs w:val="22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IV -</w:t>
      </w:r>
      <w:r>
        <w:rPr>
          <w:rFonts w:eastAsia="Calibri"/>
          <w:sz w:val="22"/>
          <w:szCs w:val="22"/>
        </w:rPr>
        <w:t xml:space="preserve"> Reparar, corrigir, remover, reconstruir ou substituir, a suas expensas, no total ou em parte, o objeto do contrato em que se verificarem vícios, defeitos ou incorreções resultantes de sua execução ou de materiais nela empregados;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V -</w:t>
      </w:r>
      <w:r>
        <w:rPr>
          <w:rFonts w:eastAsia="Calibri"/>
          <w:sz w:val="22"/>
          <w:szCs w:val="22"/>
        </w:rPr>
        <w:t xml:space="preserve"> Comunicar à Contratante, no prazo máximo de 24 (vinte e quatro) horas que antecede a data da entrega, os motivos que impossibilitem o cumprimento do prazo previsto, com a devida comprovação;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VI -</w:t>
      </w:r>
      <w:r>
        <w:rPr>
          <w:rFonts w:eastAsia="Calibri"/>
          <w:sz w:val="22"/>
          <w:szCs w:val="22"/>
        </w:rPr>
        <w:t xml:space="preserve"> Manter, durante toda a execução do contrato, em compatibilidade com as obrigações assumidas, todas as condições de habilitação e qualificação exigidas na licitação;</w:t>
      </w:r>
      <w:r>
        <w:rPr>
          <w:sz w:val="22"/>
          <w:szCs w:val="22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VII -</w:t>
      </w:r>
      <w:r>
        <w:rPr>
          <w:rFonts w:eastAsia="Calibri"/>
          <w:sz w:val="22"/>
          <w:szCs w:val="22"/>
        </w:rPr>
        <w:t xml:space="preserve"> Indicar preposto para representá-la durante a execução do contrato;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VIII -</w:t>
      </w:r>
      <w:r>
        <w:rPr>
          <w:rFonts w:eastAsia="Calibri"/>
          <w:sz w:val="22"/>
          <w:szCs w:val="22"/>
        </w:rPr>
        <w:t xml:space="preserve"> Implantação de programa de integridade pelo licitante vencedor, no prazo de 6 (seis) meses, em caso de licitação de grande vulto, nos termos do artigo 25, §4º da Lei nº 14.133/2021;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IX -</w:t>
      </w:r>
      <w:r>
        <w:rPr>
          <w:rFonts w:eastAsia="Calibri"/>
          <w:sz w:val="22"/>
          <w:szCs w:val="22"/>
        </w:rPr>
        <w:t xml:space="preserve"> Cumprir com a reserva de cargos prevista em lei para pessoa com deficiência ou para reabilitado da Previdência Social e para aprendiz, além de atender às regras de acessibilidade previstas na legislação, conforme disposto no art. 93 da Lei nº 8.213/1991.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overflowPunct w:val="true"/>
        <w:bidi w:val="0"/>
        <w:spacing w:lineRule="auto" w:line="276"/>
        <w:ind w:hanging="737" w:left="737" w:right="0"/>
        <w:jc w:val="both"/>
        <w:rPr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5.7. Das responsabilidades do contratado</w:t>
      </w:r>
    </w:p>
    <w:p>
      <w:pPr>
        <w:pStyle w:val="Corpodetexto31"/>
        <w:spacing w:lineRule="auto" w:line="276" w:before="0" w:after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A empresa CONTRATADA se compromete a executar o contrato de acordo com as disposições do Edital e em conformidade com as cláusulas constantes neste instrumento e a prestar a garantia do objeto pelo prazo de seis meses a contar da entrega. No caso da garantia ser acionada deverá ser prestada no prazo de cinco dias úteis a contar do recebimento da solicitação. O descumprimento da garantia acarretará aplicação das penalidades previstas no edital e contrato por descumprimento de cláusula do edital. As penalidades neste caso poderão ser aplicadas ainda que o prazo de vigência contratual esteja exaurido, fato que não poderá ser alegado pela contratada, pois de conhecimento prévio. 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eastAsia="Calibri" w:cs="Times New Roman"/>
          <w:b/>
          <w:bCs/>
          <w:sz w:val="22"/>
          <w:szCs w:val="22"/>
        </w:rPr>
        <w:t>5.8. Das infrações e Sanções Administrativas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§ 1º Das Infrações Administrativas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der causa à inexecução parcial do contrato;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der causa à inexecução parcial do contrato que cause grave dano à Administração, ao funcionamento dos serviços públicos ou ao interesse coletivo;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der causa à inexecução total do contrato;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deixar de entregar a documentação exigida para o certame;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g) enseje o retardamento da execução ou da entrega do objeto da licitação, sem motivo justificado;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fraude a licitação ou pratique ato fraudulento na execução do contrato;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j) comporte-se de modo inidôneo ou cometa fraude de qualquer natureza;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l) pratique atos ilícitos com vistas a frustrar os objetivos da licitação;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m) pratique ato lesivo previsto no art. 5º da Lei nº 12.846, de 1º de agosto de 2013.</w:t>
      </w:r>
    </w:p>
    <w:p>
      <w:pPr>
        <w:pStyle w:val="Normal"/>
        <w:spacing w:lineRule="auto" w:line="276" w:before="0" w:after="120"/>
        <w:rPr>
          <w:sz w:val="22"/>
          <w:szCs w:val="22"/>
        </w:rPr>
      </w:pPr>
      <w:r>
        <w:rPr>
          <w:b/>
          <w:bCs/>
          <w:sz w:val="22"/>
          <w:szCs w:val="22"/>
        </w:rPr>
        <w:t>§ 2º Do Processo Administrativo e das Sanções Administrativas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I- advertência, para a infração prevista na alínea “a”, </w:t>
      </w:r>
      <w:r>
        <w:rPr>
          <w:rFonts w:eastAsia="Arial"/>
          <w:color w:val="000000"/>
          <w:sz w:val="22"/>
          <w:szCs w:val="22"/>
        </w:rPr>
        <w:t>quando não se justificar a imposição de penalidade mais grave</w:t>
      </w:r>
      <w:r>
        <w:rPr>
          <w:sz w:val="22"/>
          <w:szCs w:val="22"/>
        </w:rPr>
        <w:t>;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II-  multa, nas modalidades: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color w:val="000000"/>
          <w:sz w:val="22"/>
          <w:szCs w:val="22"/>
        </w:rPr>
        <w:t xml:space="preserve">Compensatória, de até 10% sobre o valor da parcela inadimplida, para quaisquer das infrações previstas nas </w:t>
      </w:r>
      <w:r>
        <w:rPr>
          <w:sz w:val="22"/>
          <w:szCs w:val="22"/>
        </w:rPr>
        <w:t xml:space="preserve">alíneas “a” até “m”. 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  <w:sz w:val="22"/>
          <w:szCs w:val="22"/>
        </w:rPr>
        <w:t>quando não se justificar a imposição de penalidade mais grave;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3º Da Aplicação das Sanções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à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II. </w:t>
      </w:r>
      <w:r>
        <w:rPr>
          <w:rFonts w:eastAsia="Arial"/>
          <w:sz w:val="22"/>
          <w:szCs w:val="22"/>
        </w:rPr>
        <w:t>A multa de mora poderá ser convertida em multa compensatória, com a aplicação cumulada de outras sanções previstas neste Edital.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IV. O contrato, sem prejuízo das multas e demais cominações legais previstas no instrumento, poderá ser rescindido unilateralmente, por ato formal da Administração, nos casos enumerados nos incisos do </w:t>
      </w:r>
      <w:r>
        <w:rPr>
          <w:i/>
          <w:iCs/>
          <w:sz w:val="22"/>
          <w:szCs w:val="22"/>
        </w:rPr>
        <w:t>caput</w:t>
      </w:r>
      <w:r>
        <w:rPr>
          <w:sz w:val="22"/>
          <w:szCs w:val="22"/>
        </w:rPr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Heading6"/>
        <w:numPr>
          <w:ilvl w:val="5"/>
          <w:numId w:val="1"/>
        </w:numPr>
        <w:spacing w:lineRule="auto" w:line="276"/>
        <w:ind w:hanging="0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§ 4º Da execução da garantia contratual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spacing w:lineRule="auto" w:line="276"/>
        <w:ind w:left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6. </w:t>
      </w:r>
      <w:r>
        <w:rPr>
          <w:rFonts w:ascii="Times New Roman" w:hAnsi="Times New Roman"/>
          <w:b/>
          <w:bCs/>
          <w:sz w:val="22"/>
          <w:szCs w:val="22"/>
          <w:lang w:eastAsia="en-US"/>
        </w:rPr>
        <w:t>MODELO DE GESTÃO DO CONTRATO</w:t>
      </w:r>
    </w:p>
    <w:p>
      <w:pPr>
        <w:pStyle w:val="ListParagraph"/>
        <w:spacing w:lineRule="auto" w:line="276"/>
        <w:ind w:left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5, de 12 de janeiro de 2024, que Regulamenta, no âmbito da Câmara Municipal de Três Passos, as funções essenciais a que se refere a Lei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14.133, de 1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ListParagraph"/>
        <w:spacing w:lineRule="auto" w:line="276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spacing w:lineRule="auto" w:line="276"/>
        <w:ind w:left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 </w:t>
      </w:r>
      <w:r>
        <w:rPr>
          <w:rFonts w:ascii="Times New Roman" w:hAnsi="Times New Roman"/>
          <w:b/>
          <w:bCs/>
          <w:sz w:val="22"/>
          <w:szCs w:val="22"/>
        </w:rPr>
        <w:t>CRITÉRIOS DE PAGAMENTO</w:t>
      </w:r>
    </w:p>
    <w:p>
      <w:pPr>
        <w:pStyle w:val="BodyText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>O pagamento será efetuado em até 15</w:t>
      </w:r>
      <w:r>
        <w:rPr>
          <w:rStyle w:val="Forte1"/>
          <w:rFonts w:eastAsia="Calibri" w:cs="Times New Roman" w:ascii="Times New Roman" w:hAnsi="Times New Roman"/>
          <w:b w:val="false"/>
          <w:bCs w:val="false"/>
          <w:sz w:val="22"/>
          <w:szCs w:val="22"/>
          <w:lang w:eastAsia="ar-SA"/>
        </w:rPr>
        <w:t xml:space="preserve"> (quinze) dias corridos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após a </w:t>
      </w:r>
      <w:r>
        <w:rPr>
          <w:rStyle w:val="Forte1"/>
          <w:rFonts w:eastAsia="Calibri" w:cs="Times New Roman" w:ascii="Times New Roman" w:hAnsi="Times New Roman"/>
          <w:b w:val="false"/>
          <w:bCs w:val="false"/>
          <w:sz w:val="22"/>
          <w:szCs w:val="22"/>
          <w:lang w:eastAsia="ar-SA"/>
        </w:rPr>
        <w:t>entrega, instalação completa e validação técnica dos equipamentos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, mediante apresentação da </w:t>
      </w:r>
      <w:r>
        <w:rPr>
          <w:rStyle w:val="Forte1"/>
          <w:rFonts w:eastAsia="Calibri" w:cs="Times New Roman" w:ascii="Times New Roman" w:hAnsi="Times New Roman"/>
          <w:b w:val="false"/>
          <w:bCs w:val="false"/>
          <w:sz w:val="22"/>
          <w:szCs w:val="22"/>
          <w:lang w:eastAsia="ar-SA"/>
        </w:rPr>
        <w:t>nota fiscal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e aceite pela fiscalização da Câmara Municipal.</w:t>
      </w:r>
    </w:p>
    <w:p>
      <w:pPr>
        <w:pStyle w:val="ListParagraph"/>
        <w:spacing w:lineRule="auto" w:line="276"/>
        <w:ind w:left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 </w:t>
      </w:r>
      <w:r>
        <w:rPr>
          <w:rFonts w:ascii="Times New Roman" w:hAnsi="Times New Roman"/>
          <w:b/>
          <w:bCs/>
          <w:sz w:val="22"/>
          <w:szCs w:val="22"/>
        </w:rPr>
        <w:t>FORMA E CRITÉRIOS DE SELEÇÃO DO PRESTADOR DE SERVIÇOS</w:t>
      </w:r>
    </w:p>
    <w:p>
      <w:pPr>
        <w:pStyle w:val="ListParagraph"/>
        <w:spacing w:lineRule="auto" w:line="276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spacing w:lineRule="auto" w:line="276"/>
        <w:ind w:left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proposto no ETP, o futuro contratado será selecionado mediante </w:t>
      </w:r>
      <w:r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 xml:space="preserve">rocesso </w:t>
      </w:r>
      <w:r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>icitatório na modalidade Dispensa de Licitação nº 23/2025.</w:t>
      </w:r>
    </w:p>
    <w:p>
      <w:pPr>
        <w:pStyle w:val="Normal"/>
        <w:spacing w:lineRule="auto" w:line="276"/>
        <w:rPr>
          <w:rFonts w:ascii="Times New Roman" w:hAnsi="Times New Roman"/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ListParagraph"/>
        <w:spacing w:lineRule="auto" w:line="276"/>
        <w:ind w:left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 </w:t>
      </w:r>
      <w:r>
        <w:rPr>
          <w:rFonts w:ascii="Times New Roman" w:hAnsi="Times New Roman"/>
          <w:b/>
          <w:bCs/>
          <w:sz w:val="22"/>
          <w:szCs w:val="22"/>
        </w:rPr>
        <w:t>ESTIMATIVA DO VALOR DE CONTRATAÇÃO</w:t>
      </w:r>
    </w:p>
    <w:p>
      <w:pPr>
        <w:pStyle w:val="ListParagraph"/>
        <w:spacing w:lineRule="auto" w:line="276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spacing w:lineRule="auto" w:line="276"/>
        <w:ind w:left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máximo total de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R$ 28.888,41 (vinte e oito mil, oitocentos e oitenta e oito reais e quarenta e um centavos), </w:t>
      </w:r>
      <w:r>
        <w:rPr>
          <w:rFonts w:ascii="Times New Roman" w:hAnsi="Times New Roman"/>
          <w:color w:val="000000"/>
          <w:sz w:val="22"/>
          <w:szCs w:val="22"/>
        </w:rPr>
        <w:t>conforme mencionado no est</w:t>
      </w:r>
      <w:r>
        <w:rPr>
          <w:rFonts w:ascii="Times New Roman" w:hAnsi="Times New Roman"/>
          <w:sz w:val="22"/>
          <w:szCs w:val="22"/>
        </w:rPr>
        <w:t>udo técnico preliminar elaborado anteriormente ao presente termo.</w:t>
      </w:r>
    </w:p>
    <w:tbl>
      <w:tblPr>
        <w:tblW w:w="9375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95"/>
        <w:gridCol w:w="4260"/>
        <w:gridCol w:w="900"/>
        <w:gridCol w:w="1020"/>
        <w:gridCol w:w="1275"/>
        <w:gridCol w:w="1124"/>
      </w:tblGrid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VALOR UNITÁRIO R$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VALOR TOTAL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7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CAIXA DE SOM PROFISSIONAL ATIVA COM AMPLIFICADOR EMBUTIDO</w:t>
            </w:r>
          </w:p>
          <w:p>
            <w:pPr>
              <w:pStyle w:val="Default"/>
              <w:spacing w:lineRule="auto" w:line="27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Características: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Sistema Tipo: Duas vias 12" Amplificado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Gabinete: Polipropoleno Com Tela em Aço.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MAX SPL: 128 dB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Resposta de Frequência (±3 dB): 65Hz - 16,5Khz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Potência: 350 Watts RMS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Impedância de Entrada: 100k Ohm Balanceado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Padrão de Cobertura: 100o (Horizontal) x 60o (Vertical) Nominal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Bluetooth: Audio Streaming, Bluetooth Versão 5.0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DSP: 15 Presets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Conexões: 2 Entradas XLR/TRS combo mic/line, 1 Entrada Aux 3,5 mm ,1 Saida XLR Pass-thru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Suporte: 35 mm (Duplo Ângulo)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Profundidade: 355 (mm)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Largura: 365 (mm)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Altura: 639 (mm)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Peso Liquido: 15,9 Kg</w:t>
            </w:r>
          </w:p>
          <w:p>
            <w:pPr>
              <w:pStyle w:val="Default"/>
              <w:spacing w:lineRule="auto" w:line="27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 xml:space="preserve">•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Voltagem 220v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  <w:t xml:space="preserve">A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 xml:space="preserve"> Embalagem Deverá conter: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01 Caixa  350w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01 Cabo de Energia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Manual e Certificado de  Garantia de 12 meses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R$ 3.933,82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R$7.867,64</w:t>
            </w:r>
          </w:p>
        </w:tc>
      </w:tr>
      <w:tr>
        <w:trPr>
          <w:trHeight w:val="416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SUPORTE DE PAREDE PARA CAIXAS DE SOM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</w:rPr>
              <w:t xml:space="preserve"> (compatível com o modelo do 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Item 01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R$ </w:t>
            </w:r>
            <w:r>
              <w:rPr>
                <w:b w:val="false"/>
                <w:bCs w:val="false"/>
                <w:color w:val="000000"/>
                <w:sz w:val="22"/>
                <w:szCs w:val="22"/>
              </w:rPr>
              <w:t>187,75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keepNext w:val="true"/>
              <w:widowControl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57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R$375,5</w:t>
            </w:r>
          </w:p>
        </w:tc>
      </w:tr>
      <w:tr>
        <w:trPr/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MICROFONE TSI MMF-302</w:t>
            </w:r>
          </w:p>
          <w:p>
            <w:pPr>
              <w:pStyle w:val="TableParagraph"/>
              <w:widowControl w:val="false"/>
              <w:spacing w:lineRule="auto" w:line="276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Características: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92" w:leader="none"/>
              </w:tabs>
              <w:spacing w:lineRule="auto" w:line="276" w:before="0" w:after="0"/>
              <w:ind w:hanging="0" w:left="55" w:right="52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Microfone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profissional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alta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sensibilidade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Phantom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7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Power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ou pilhas 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sistema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dá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Voz.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97" w:leader="none"/>
              </w:tabs>
              <w:spacing w:lineRule="auto" w:line="276" w:before="0" w:after="0"/>
              <w:ind w:hanging="0" w:left="55" w:right="51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base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para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mesa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suporte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flexível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cápsula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8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condensador,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saída XLR.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200" w:leader="none"/>
              </w:tabs>
              <w:spacing w:lineRule="auto" w:line="276" w:before="0" w:after="0"/>
              <w:ind w:hanging="145" w:left="199" w:righ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Cabo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 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metros plugue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XLR para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P-10.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223" w:leader="none"/>
              </w:tabs>
              <w:spacing w:lineRule="auto" w:line="276" w:before="0" w:after="0"/>
              <w:ind w:hanging="0" w:left="55" w:right="55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Led de cor vermelha próximo à cápsula, que acende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quando o microfone é acionado e chama a atenção do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operador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para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 mesmo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acionar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 canal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respectivo.</w:t>
            </w:r>
          </w:p>
          <w:p>
            <w:pPr>
              <w:pStyle w:val="TableParagraph"/>
              <w:widowControl w:val="false"/>
              <w:spacing w:lineRule="auto" w:line="276"/>
              <w:ind w:hanging="0" w:left="55" w:righ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Especificações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Técnicas: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219" w:leader="none"/>
              </w:tabs>
              <w:spacing w:lineRule="auto" w:line="276" w:before="0" w:after="0"/>
              <w:ind w:hanging="0" w:left="55" w:right="49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Alimentação: 9-52V DC Phantom Power ou 2 pilhas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1.5V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200" w:leader="none"/>
              </w:tabs>
              <w:spacing w:lineRule="auto" w:line="276" w:before="0" w:after="0"/>
              <w:ind w:hanging="145" w:left="199" w:righ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Altura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conjunto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(Haste+Base+Espuma)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cm.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200" w:leader="none"/>
              </w:tabs>
              <w:spacing w:lineRule="auto" w:line="276" w:before="0" w:after="0"/>
              <w:ind w:hanging="145" w:left="199" w:righ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Cápsula: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Condensador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Eletreto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200" w:leader="none"/>
              </w:tabs>
              <w:spacing w:lineRule="auto" w:line="276" w:before="0" w:after="0"/>
              <w:ind w:hanging="145" w:left="199" w:right="0"/>
              <w:jc w:val="left"/>
              <w:rPr>
                <w:sz w:val="22"/>
                <w:szCs w:val="22"/>
              </w:rPr>
            </w:pP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Comprimento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da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Haste de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41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cm.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R$759,97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R$ 9.879,61</w:t>
            </w:r>
          </w:p>
        </w:tc>
      </w:tr>
      <w:tr>
        <w:trPr>
          <w:trHeight w:val="446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CABO DE MICROFONE 2X0,30MM BLINDADO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Metro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R$ 10,63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R$ 2.126,00</w:t>
            </w:r>
          </w:p>
        </w:tc>
      </w:tr>
      <w:tr>
        <w:trPr/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CABO MULTI VIAS COM MEDUSA – 20 VIAS-20 METROS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rPr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1.952,46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R$ </w:t>
            </w:r>
            <w:r>
              <w:rPr>
                <w:b w:val="false"/>
                <w:bCs w:val="false"/>
                <w:color w:val="000000"/>
                <w:sz w:val="22"/>
                <w:szCs w:val="22"/>
              </w:rPr>
              <w:t>1.952,46</w:t>
            </w:r>
          </w:p>
        </w:tc>
      </w:tr>
      <w:tr>
        <w:trPr/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CONECTORES XLR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R$ 2.087,20</w:t>
            </w:r>
          </w:p>
        </w:tc>
      </w:tr>
      <w:tr>
        <w:trPr/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MÃO DE OBRA PARA INSTALAÇÃO DE TODO O SISTEMA DE SOM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R$ 4.600,00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4.600,00</w:t>
            </w:r>
          </w:p>
        </w:tc>
      </w:tr>
      <w:tr>
        <w:trPr>
          <w:trHeight w:val="624" w:hRule="atLeast"/>
        </w:trPr>
        <w:tc>
          <w:tcPr>
            <w:tcW w:w="9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VALOR MÉDIO TOTAL: R$ 28.888,41 ( vinte e oito mil, oitocentos e oitenta e oito reais e quarenta e um centavos)</w:t>
            </w:r>
          </w:p>
        </w:tc>
      </w:tr>
    </w:tbl>
    <w:p>
      <w:pPr>
        <w:pStyle w:val="Normal"/>
        <w:spacing w:lineRule="auto" w:line="276"/>
        <w:ind w:left="113"/>
        <w:rPr>
          <w:sz w:val="22"/>
          <w:szCs w:val="22"/>
        </w:rPr>
      </w:pPr>
      <w:r>
        <w:rPr>
          <w:color w:val="000000"/>
          <w:sz w:val="22"/>
          <w:szCs w:val="22"/>
        </w:rPr>
        <w:t>Observação 1: Dentro do valor contratado deverá estar incluído a entrega e devida instalação dos itens citados a cima, no endereço da Câmara Municipal de Vereadores: Rua Salgado Filho n° 79, Centro, Três Passos-RS.</w:t>
      </w:r>
    </w:p>
    <w:p>
      <w:pPr>
        <w:pStyle w:val="Normal"/>
        <w:tabs>
          <w:tab w:val="clear" w:pos="709"/>
          <w:tab w:val="left" w:pos="1042" w:leader="none"/>
        </w:tabs>
        <w:spacing w:lineRule="auto" w:line="276" w:before="137" w:after="0"/>
        <w:ind w:right="3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rPr>
          <w:rFonts w:ascii="Times New Roman" w:hAnsi="Times New Roman"/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ListParagraph"/>
        <w:spacing w:lineRule="auto" w:line="276"/>
        <w:ind w:left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 </w:t>
      </w:r>
      <w:r>
        <w:rPr>
          <w:rFonts w:ascii="Times New Roman" w:hAnsi="Times New Roman"/>
          <w:b/>
          <w:bCs/>
          <w:sz w:val="22"/>
          <w:szCs w:val="22"/>
        </w:rPr>
        <w:t>ADEQUAÇÃO ORÇAMENTÁRIA</w:t>
      </w:r>
    </w:p>
    <w:p>
      <w:pPr>
        <w:pStyle w:val="ListParagraph"/>
        <w:spacing w:lineRule="auto" w:line="276"/>
        <w:ind w:left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seguinte dotação orçamentária:</w:t>
      </w:r>
    </w:p>
    <w:p>
      <w:pPr>
        <w:pStyle w:val="Normal"/>
        <w:spacing w:lineRule="auto" w:line="27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Ação1056</w:t>
      </w: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 – </w:t>
      </w:r>
      <w:r>
        <w:rPr>
          <w:rFonts w:ascii="Times New Roman" w:hAnsi="Times New Roman"/>
          <w:sz w:val="22"/>
          <w:szCs w:val="22"/>
        </w:rPr>
        <w:t xml:space="preserve">Reaparelhamento da Câmara Municipal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Elemento: 4.4.90.52 – Equipamentos e Material Permanente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Ação2094 –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Elemento: 3.3.90.30 – Material de Consumo</w:t>
      </w:r>
    </w:p>
    <w:p>
      <w:pPr>
        <w:pStyle w:val="ListParagraph"/>
        <w:spacing w:lineRule="auto" w:line="276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spacing w:lineRule="auto" w:line="276"/>
        <w:ind w:left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color w:val="111111"/>
          <w:sz w:val="22"/>
          <w:szCs w:val="22"/>
        </w:rPr>
        <w:t>rês Passos/RS, 21 de agosto de 20</w:t>
      </w:r>
      <w:r>
        <w:rPr>
          <w:rFonts w:ascii="Times New Roman" w:hAnsi="Times New Roman"/>
          <w:color w:val="000000"/>
          <w:sz w:val="22"/>
          <w:szCs w:val="22"/>
        </w:rPr>
        <w:t>25.</w:t>
      </w:r>
    </w:p>
    <w:p>
      <w:pPr>
        <w:pStyle w:val="ListParagraph"/>
        <w:spacing w:lineRule="auto" w:line="276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 w:val="false"/>
        <w:spacing w:lineRule="auto" w:line="276"/>
        <w:jc w:val="center"/>
        <w:rPr>
          <w:rFonts w:ascii="Times New Roman" w:hAnsi="Times New Roman" w:eastAsia="Calibri" w:cs="0"/>
          <w:color w:val="000000"/>
          <w:sz w:val="22"/>
          <w:szCs w:val="22"/>
        </w:rPr>
      </w:pPr>
      <w:r>
        <w:rPr>
          <w:rFonts w:eastAsia="Calibri" w:cs="0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276"/>
        <w:jc w:val="center"/>
        <w:rPr>
          <w:rFonts w:ascii="Times New Roman" w:hAnsi="Times New Roman" w:eastAsia="Calibri" w:cs="0"/>
          <w:color w:val="000000"/>
          <w:sz w:val="22"/>
          <w:szCs w:val="22"/>
        </w:rPr>
      </w:pPr>
      <w:r>
        <w:rPr>
          <w:rFonts w:eastAsia="Calibri" w:cs="0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276"/>
        <w:jc w:val="center"/>
        <w:rPr>
          <w:sz w:val="22"/>
          <w:szCs w:val="22"/>
        </w:rPr>
      </w:pPr>
      <w:r>
        <w:rPr>
          <w:rFonts w:eastAsia="Calibri" w:cs="0"/>
          <w:color w:val="000000"/>
          <w:sz w:val="22"/>
          <w:szCs w:val="22"/>
        </w:rPr>
        <w:t>_________________________________________</w:t>
      </w:r>
    </w:p>
    <w:p>
      <w:pPr>
        <w:pStyle w:val="Normal"/>
        <w:widowControl w:val="false"/>
        <w:spacing w:lineRule="auto" w:line="276"/>
        <w:jc w:val="center"/>
        <w:rPr>
          <w:sz w:val="22"/>
          <w:szCs w:val="22"/>
        </w:rPr>
      </w:pPr>
      <w:r>
        <w:rPr>
          <w:rFonts w:eastAsia="Calibri" w:cs="0"/>
          <w:color w:val="000000"/>
          <w:sz w:val="22"/>
          <w:szCs w:val="22"/>
        </w:rPr>
        <w:t>Emanuelle Cavalcante Carvalho Petrazzini</w:t>
      </w:r>
    </w:p>
    <w:p>
      <w:pPr>
        <w:pStyle w:val="Normal"/>
        <w:spacing w:lineRule="auto" w:line="276" w:before="0" w:after="200"/>
        <w:contextualSpacing/>
        <w:jc w:val="center"/>
        <w:rPr>
          <w:sz w:val="22"/>
          <w:szCs w:val="22"/>
        </w:rPr>
      </w:pPr>
      <w:r>
        <w:rPr>
          <w:rFonts w:eastAsia="Calibri" w:cs="0"/>
          <w:color w:val="000000"/>
          <w:sz w:val="22"/>
          <w:szCs w:val="22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353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28"/>
      <w:ind w:left="1928"/>
      <w:jc w:val="center"/>
      <w:rPr>
        <w:sz w:val="28"/>
        <w:szCs w:val="28"/>
      </w:rPr>
    </w:pPr>
    <w:r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/>
      <w:ind w:left="3168" w:right="2246"/>
      <w:jc w:val="center"/>
      <w:rPr/>
    </w:pPr>
    <w:r>
      <w:rPr/>
      <w:t xml:space="preserve">       </w:t>
    </w:r>
    <w:r>
      <w:rPr/>
      <w:t xml:space="preserve">Estado do Rio Grande do Sul </w:t>
    </w:r>
  </w:p>
  <w:p>
    <w:pPr>
      <w:pStyle w:val="Normal"/>
      <w:spacing w:lineRule="auto" w:line="228"/>
      <w:ind w:left="3168" w:right="2246"/>
      <w:jc w:val="center"/>
      <w:rPr/>
    </w:pPr>
    <w:r>
      <w:rPr>
        <w:b/>
        <w:bCs/>
        <w:w w:val="95"/>
      </w:rPr>
      <w:t xml:space="preserve">      </w:t>
    </w:r>
    <w:r>
      <w:rPr>
        <w:w w:val="95"/>
      </w:rPr>
      <w:t>Poder</w:t>
    </w:r>
    <w:r>
      <w:rPr>
        <w:spacing w:val="-48"/>
        <w:w w:val="95"/>
      </w:rPr>
      <w:t xml:space="preserve"> </w:t>
    </w:r>
    <w:r>
      <w:rPr>
        <w:w w:val="95"/>
      </w:rPr>
      <w:t>Legislativo</w:t>
    </w:r>
    <w:r>
      <w:rPr>
        <w:spacing w:val="-48"/>
        <w:w w:val="95"/>
      </w:rPr>
      <w:t xml:space="preserve"> </w:t>
    </w:r>
    <w:r>
      <w:rPr>
        <w:w w:val="95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28"/>
      <w:ind w:left="1928"/>
      <w:jc w:val="center"/>
      <w:rPr>
        <w:sz w:val="28"/>
        <w:szCs w:val="28"/>
      </w:rPr>
    </w:pPr>
    <w:r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/>
      <w:ind w:left="3168" w:right="2246"/>
      <w:jc w:val="center"/>
      <w:rPr/>
    </w:pPr>
    <w:r>
      <w:rPr/>
      <w:t xml:space="preserve">       </w:t>
    </w:r>
    <w:r>
      <w:rPr/>
      <w:t xml:space="preserve">Estado do Rio Grande do Sul </w:t>
    </w:r>
  </w:p>
  <w:p>
    <w:pPr>
      <w:pStyle w:val="Normal"/>
      <w:spacing w:lineRule="auto" w:line="228"/>
      <w:ind w:left="3168" w:right="2246"/>
      <w:jc w:val="center"/>
      <w:rPr/>
    </w:pPr>
    <w:r>
      <w:rPr>
        <w:b/>
        <w:bCs/>
        <w:w w:val="95"/>
      </w:rPr>
      <w:t xml:space="preserve">      </w:t>
    </w:r>
    <w:r>
      <w:rPr>
        <w:w w:val="95"/>
      </w:rPr>
      <w:t>Poder</w:t>
    </w:r>
    <w:r>
      <w:rPr>
        <w:spacing w:val="-48"/>
        <w:w w:val="95"/>
      </w:rPr>
      <w:t xml:space="preserve"> </w:t>
    </w:r>
    <w:r>
      <w:rPr>
        <w:w w:val="95"/>
      </w:rPr>
      <w:t>Legislativo</w:t>
    </w:r>
    <w:r>
      <w:rPr>
        <w:spacing w:val="-48"/>
        <w:w w:val="95"/>
      </w:rPr>
      <w:t xml:space="preserve"> </w:t>
    </w:r>
    <w:r>
      <w:rPr>
        <w:w w:val="95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u w:val="none"/>
        <w:rFonts w:ascii="Arial Black" w:hAnsi="Arial Black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ind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left="-180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Forte1" w:customStyle="1">
    <w:name w:val="Forte1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BodyTextIndented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Smbolosdenumerao" w:customStyle="1">
    <w:name w:val="Símbolos de numeração"/>
    <w:qFormat/>
    <w:rPr/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 w:customStyle="1">
    <w:name w:val="Body Text;Indented"/>
    <w:basedOn w:val="Normal"/>
    <w:link w:val="RecuodecorpodetextoChar"/>
    <w:qFormat/>
    <w:pPr>
      <w:ind w:left="-180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</w:pPr>
    <w:rPr>
      <w:rFonts w:ascii="Arial" w:hAnsi="Arial" w:cs="Arial"/>
    </w:rPr>
  </w:style>
  <w:style w:type="paragraph" w:styleId="BodyText2">
    <w:name w:val="Body Text 2"/>
    <w:basedOn w:val="Normal"/>
    <w:qFormat/>
    <w:pPr/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/>
    <w:rPr>
      <w:b/>
      <w:sz w:val="20"/>
    </w:rPr>
  </w:style>
  <w:style w:type="paragraph" w:styleId="TableParagraph" w:customStyle="1">
    <w:name w:val="Table Paragraph"/>
    <w:basedOn w:val="Normal"/>
    <w:qFormat/>
    <w:pPr/>
    <w:rPr>
      <w:lang w:val="pt-PT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51" w:customStyle="1">
    <w:name w:val="Cabeçalho e rodapé51"/>
    <w:basedOn w:val="Normal"/>
    <w:qFormat/>
    <w:pPr/>
    <w:rPr/>
  </w:style>
  <w:style w:type="paragraph" w:styleId="Cabealhoerodap41" w:customStyle="1">
    <w:name w:val="Cabeçalho e rodapé41"/>
    <w:basedOn w:val="Normal"/>
    <w:qFormat/>
    <w:pPr/>
    <w:rPr/>
  </w:style>
  <w:style w:type="paragraph" w:styleId="Cabealhoerodap31" w:customStyle="1">
    <w:name w:val="Cabeçalho e rodapé31"/>
    <w:basedOn w:val="Normal"/>
    <w:qFormat/>
    <w:pPr/>
    <w:rPr/>
  </w:style>
  <w:style w:type="paragraph" w:styleId="Cabealhoerodap211" w:customStyle="1">
    <w:name w:val="Cabeçalho e rodapé211"/>
    <w:basedOn w:val="Normal"/>
    <w:qFormat/>
    <w:pPr/>
    <w:rPr>
      <w:color w:val="000000"/>
    </w:rPr>
  </w:style>
  <w:style w:type="paragraph" w:styleId="caption2" w:customStyle="1">
    <w:name w:val="caption2"/>
    <w:basedOn w:val="Normal"/>
    <w:qFormat/>
    <w:pPr>
      <w:spacing w:before="120" w:after="120"/>
    </w:pPr>
    <w:rPr>
      <w:i/>
      <w:iCs/>
      <w:color w:val="000000"/>
    </w:rPr>
  </w:style>
  <w:style w:type="paragraph" w:styleId="Cabealhoerodap141" w:customStyle="1">
    <w:name w:val="Cabeçalho e rodapé141"/>
    <w:basedOn w:val="Normal"/>
    <w:qFormat/>
    <w:pPr/>
    <w:rPr/>
  </w:style>
  <w:style w:type="paragraph" w:styleId="Cabealhoerodap131" w:customStyle="1">
    <w:name w:val="Cabeçalho e rodapé131"/>
    <w:basedOn w:val="Normal"/>
    <w:qFormat/>
    <w:pPr/>
    <w:rPr/>
  </w:style>
  <w:style w:type="paragraph" w:styleId="Cabealhoerodap121" w:customStyle="1">
    <w:name w:val="Cabeçalho e rodapé121"/>
    <w:basedOn w:val="Normal"/>
    <w:qFormat/>
    <w:pPr/>
    <w:rPr/>
  </w:style>
  <w:style w:type="paragraph" w:styleId="Cabealhoerodap151" w:customStyle="1">
    <w:name w:val="Cabeçalho e rodapé151"/>
    <w:basedOn w:val="Normal"/>
    <w:qFormat/>
    <w:pPr/>
    <w:rPr/>
  </w:style>
  <w:style w:type="paragraph" w:styleId="Cabealhoerodap101" w:customStyle="1">
    <w:name w:val="Cabeçalho e rodapé101"/>
    <w:basedOn w:val="Normal"/>
    <w:qFormat/>
    <w:pPr/>
    <w:rPr/>
  </w:style>
  <w:style w:type="paragraph" w:styleId="Linhahorizontal" w:customStyle="1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Corpodetexto3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Cabealhoerodap111">
    <w:name w:val="Cabeçalho e rodapé111"/>
    <w:basedOn w:val="Normal"/>
    <w:qFormat/>
    <w:pPr/>
    <w:rPr/>
  </w:style>
  <w:style w:type="paragraph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styleId="Cabealhoerodap26">
    <w:name w:val="Cabeçalho e rodapé26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41">
    <w:name w:val="Cabeçalho e rodapé241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15">
    <w:name w:val="WW8Num15"/>
    <w:qFormat/>
  </w:style>
  <w:style w:type="numbering" w:styleId="WW8Num17">
    <w:name w:val="WW8Num17"/>
    <w:qFormat/>
  </w:style>
  <w:style w:type="numbering" w:styleId="Semlistauser">
    <w:name w:val="Sem lista (user)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Application>LibreOffice/25.2.5.2$Windows_X86_64 LibreOffice_project/03d19516eb2e1dd5d4ccd751a0d6f35f35e08022</Application>
  <AppVersion>15.0000</AppVersion>
  <Pages>11</Pages>
  <Words>4219</Words>
  <Characters>23440</Characters>
  <CharactersWithSpaces>27518</CharactersWithSpaces>
  <Paragraphs>241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2025-07-28T01:52:00Z</dcterms:created>
  <dc:creator>Câmara Municipal de Vereadores de Três Passos</dc:creator>
  <dc:description/>
  <dc:language>pt-BR</dc:language>
  <cp:lastModifiedBy/>
  <dcterms:modified xsi:type="dcterms:W3CDTF">2025-08-29T09:43:15Z</dcterms:modified>
  <cp:revision>133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