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ESTUDO TÉCNICO PRELIMINAR </w:t>
      </w:r>
      <w:r>
        <w:rPr>
          <w:b/>
          <w:bCs/>
          <w:color w:val="000000"/>
          <w:sz w:val="24"/>
          <w:szCs w:val="24"/>
        </w:rPr>
        <w:t>Nº 49/2025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49/2025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RECARGA DE EXTINTORES DA CÂMARA MUNICIPAL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A contratação visa à recarga dos extintores de incêndio instalados no prédio do Poder Legislativo de Três Passos, conforme exigências legais e normas de segurança. O serviço é necessário para garantir a eficiência dos equipamentos, assegurando a proteção de servidores, vereadores, visitantes e do patrimônio público em eventuais situações de emergência.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>O objeto da contratação está localizad</w:t>
      </w:r>
      <w:r>
        <w:rPr>
          <w:rStyle w:val="Fontepargpadro"/>
          <w:sz w:val="24"/>
          <w:szCs w:val="24"/>
          <w:shd w:fill="auto" w:val="clear"/>
          <w:lang w:eastAsia="en-US"/>
        </w:rPr>
        <w:t xml:space="preserve">o parcialmente </w:t>
      </w:r>
      <w:r>
        <w:rPr>
          <w:rStyle w:val="Fontepargpadro"/>
          <w:sz w:val="24"/>
          <w:szCs w:val="24"/>
          <w:shd w:fill="auto" w:val="clear"/>
          <w:lang w:eastAsia="en-US"/>
        </w:rPr>
        <w:t xml:space="preserve">no Plano Anual de Contratações – PAC em Extintor e  PPCI/ </w:t>
      </w:r>
      <w:r>
        <w:rPr>
          <w:rStyle w:val="Fontepargpadro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Recarga de extintor de inc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êndio.</w:t>
      </w:r>
    </w:p>
    <w:p>
      <w:pPr>
        <w:pStyle w:val="Normal"/>
        <w:spacing w:lineRule="auto" w:line="276"/>
        <w:jc w:val="both"/>
        <w:rPr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highlight w:val="none"/>
          <w:u w:val="none"/>
          <w:shd w:fill="auto" w:val="clear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3.1.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prestação dos serviços pretendidos, os eventuais interessados deverão comprovar que atuam em ramo de atividade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compatível com o objeto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apresentar os documentos exigidos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habilitação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nos termos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Lei Federal nº 14.133/2021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/>
          <w:bCs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3.2.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execução das recargas, a empresa contratada deverá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retirar os extintores nas dependências da Câmara Municipal de Três Passos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sendo de sua responsabilidade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todos os materiais, insumos, equipamentos e o transporte (frete)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necessários à plena realização do serviço.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/>
          <w:bCs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3.3.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O prazo máximo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execução dos serviços de recarga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será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10 (dez) dias corridos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contados a partir da data da retirada dos extintores no local indicado pela Câmara Municipal.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/>
          <w:bCs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3.4.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As recargas deverão ser entregues em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perfeito estado de conservação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devendo os serviços e materiais utilizados ser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boa qualidade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atendendo às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normas técnicas aplicáveis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/>
          <w:bCs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3.5.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 empresa deverá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fixar nos extintores os selos de garantia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contendo as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datas de vencimento da carga e do teste hidrostático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de forma legível e sem obstruir quaisquer gravações existentes no corpo do equipamento.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/>
          <w:bCs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3.6.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Considerando tratar-se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serviço contínuo essencial à manutenção das condições de segurança do prédio público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o contrato decorrente desta contratação terá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vigência inicial de 12 (doze) meses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podendo ser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prorrogado sucessivamente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até o limite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10 (dez) anos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conforme dispõe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107, §3º, da Lei nº 14.133/2021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mediante comprovação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vantajosidade e necessidade de continuidade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jc w:val="both"/>
        <w:rPr>
          <w:rStyle w:val="Fontepargpadro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4032"/>
        <w:gridCol w:w="900"/>
        <w:gridCol w:w="2100"/>
        <w:gridCol w:w="1706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Item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Unitário Max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Total Max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Recarga Extintor ABC 4kg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R$ 78,89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R$ 473,34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02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Recarga Extintor AP 10l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R$ 70,50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R$ 141,00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Max. Total R$ 614,34 (seiscentos e quatorze reais e trinta e quatro centavos)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Conforme pesquisa realizada no mercado, as soluções disponíveis para necessidade administrativa é: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I.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Realizar a substituição completa dos extintores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por novos equipamentos, o que, embora garanta a renovação total do sistema,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implicaria custo significativamente mais elevado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e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descarte prematuro de equipamentos em bom estado de conservação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, não se mostrando economicamente vantajoso no momento.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/>
          <w:color w:val="000000"/>
          <w:lang w:eastAsia="en-US"/>
        </w:rPr>
      </w:pP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II.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Proceder à recarga dos extintores existentes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mediante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contratação de empresa especializada no ramo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solução que apresenta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melhor relação custo-benefício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preserva os equipamentos em boas condições e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assegura conformidade com as normas de segurança e manutenção preventiva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283"/>
        <w:rPr>
          <w:lang w:eastAsia="en-US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Dessa forma, considerando 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baixo custo relativo da recarga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eficiência técnica do serviço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e 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atendimento integral às exigências legais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segunda alternativa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mostra-se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mais adequada e vantajosa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para a Administração, podendo ser contratada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por dispensa de licitação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nos termos do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art. 75, inciso II, da Lei nº 14.133/2021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uma vez que o valor estimado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não ultrapassa o limite de R$ 59.906,02 (cinquenta e nove mil, novecentos e seis reais e dois centavos)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Estima-se que, para a contratação pretendida, o valor total máximo será de </w:t>
      </w:r>
      <w:r>
        <w:rPr>
          <w:rStyle w:val="Strong"/>
          <w:rFonts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eastAsia="en-US"/>
        </w:rPr>
        <w:t>R$ 614,34 (seiscentos e quatorze reais e trinta e quatro centavos).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A elaboração da estimativa observou os critérios estabelecidos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Resolução de Mesa nº 7, de 12 de janeiro de 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tendo como base as seguintes fontes: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Sistema Licitacon-RS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– pesquisa realizada conforme o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art. 1º, inciso I, da Resolução nº 07/2024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considerando contratações recentes e semelhantes para subsidiar a composição do preço estimado;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Fornecedores e prestadores de serviços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– cotações atualizadas obtidas diretamente junto a empresas especializadas, em conformidade com o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art. 1º, inciso IV, da Resolução nº 07/2024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visando suprir lacunas de compatibilidade técnica e subsidiar a definição do preço estimado;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Contratações similares da Administração Pública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– preços praticados em processos em execução ou concluídos no período máximo de um ano anterior à pesquisa, observando o índice de atualização de preços correspondente, conforme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art. 1º, inciso II, da Resolução nº 07/2024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metodologia aplicada consistiu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média aritmética simples das propostas válidas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obtidas nas três fontes, em conformidade com o disposto no § 3º do art. 1º da Resolução de Mesa nº 7/2024.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DESCRIÇÃO DA SOLUÇÃO COMO UM TODO: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A contratação de </w:t>
      </w:r>
      <w:r>
        <w:rPr>
          <w:rStyle w:val="Strong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empresa especializada na recarga e manutenção de extintores de incêndio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para atender à </w:t>
      </w:r>
      <w:r>
        <w:rPr>
          <w:rStyle w:val="Strong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Câmara Municipal de Três Passos/RS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tem como objetivo garantir o </w:t>
      </w:r>
      <w:r>
        <w:rPr>
          <w:rStyle w:val="Strong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pleno funcionamento do sistema de prevenção e combate a incêndios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instalado em suas dependências, em conformidade com as normas de segurança vigentes e com o </w:t>
      </w:r>
      <w:r>
        <w:rPr>
          <w:rStyle w:val="Strong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Plano de Prevenção e Proteção Contra Incêndios (PPCI)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solução contempla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retirada, recarga, inspeção técnica, substituição de componentes danificados e reinstalação dos extintores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no prédio do Poder Legislativo, abrangendo todas as áreas administrativas, plenário, salas de reunião, setores de apoio e demais espaços de uso público e interno. Durante o processo, serão utilizados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materiais e agentes extintores certificados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de modo a assegurar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eficiência operacional e a conformidade com as normas da ABNT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especialmente as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NBR 12962 e NBR 15808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O serviço será executado por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empresa do ramo devidamente credenciada junto aos órgãos competentes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garantindo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qualidade, segurança e rastreabilidade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em todas as etapas, desde a coleta dos equipamentos até a entrega final com os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selos de validade e garantia devidamente identificados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contratação tem como propósito assegurar que os extintores estejam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em perfeitas condições de uso em eventuais situações de emergência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promovendo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proteção da vida, a integridade física dos servidores, vereadores e visitantes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além de contribuir para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preservação do patrimônio público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e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continuidade das atividades legislativas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em ambiente seguro.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Por tratar-se de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serviço essencial e de natureza contínua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o contrato será formalizado por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Dispensa de Licitação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com fundamento no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art. 75, inciso II, da Lei nº 14.133/2021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uma vez que o valor estimado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não ultrapassa o limite de R$ 59.906,02 (cinquenta e nove mil, novecentos e seis reais e dois centavos)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e poderá ter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vigência inicial de 12 (doze) meses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com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renovações sucessivas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conforme 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art. 107, § 3º, da mesma Lei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mediante demonstração de vantajosidade e necessidade de continuidade.</w:t>
      </w:r>
    </w:p>
    <w:p>
      <w:pPr>
        <w:pStyle w:val="BodyText"/>
        <w:spacing w:lineRule="auto" w:line="276" w:before="0" w:after="283"/>
        <w:rPr/>
      </w:pP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Essa abordagem proporciona à Câmara Municipal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maior segurança institucional, previsibilidade orçamentária e conformidade técnica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garantindo que o sistema de combate a incêndio permaneça sempre em condições ideais de uso, prevenindo riscos e assegurando a tranquilidade e proteção do ambiente legislativo.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BodyText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A contratação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não será parcelada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, optando-se pela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execução integral em um único contrato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, considerando que o objeto trata-se de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um conjunto de serviços homogêneos e interdependentes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, relacionados à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recarga e manutenção dos extintores de incêndio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da Câmara Municipal de Três Passos/RS.</w:t>
      </w:r>
    </w:p>
    <w:p>
      <w:pPr>
        <w:pStyle w:val="BodyText"/>
        <w:widowControl w:val="false"/>
        <w:snapToGrid w:val="false"/>
        <w:spacing w:lineRule="auto" w:line="276" w:before="0" w:after="0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unificação da contratação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em uma única empresa especializada garante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padronização dos serviços prestados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uniformidade técnica dos procedimentos de recarga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bem como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utilização de insumos e agentes extintores compatíveis entre si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evitando divergências de qualidade, variações de especificações e eventuais incompatibilidades entre equipamentos.</w:t>
      </w:r>
    </w:p>
    <w:p>
      <w:pPr>
        <w:pStyle w:val="BodyText"/>
        <w:widowControl w:val="false"/>
        <w:snapToGrid w:val="false"/>
        <w:spacing w:lineRule="auto" w:line="276" w:before="0" w:after="0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Além disso, a centralização em um único contrato proporciona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maior eficiência administrativa e controle operacional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reduzindo o número de processos de fiscalização, acompanhamento e execução contratual, bem como os custos indiretos associados à gestão de múltiplos contratos.</w:t>
      </w:r>
    </w:p>
    <w:p>
      <w:pPr>
        <w:pStyle w:val="BodyText"/>
        <w:widowControl w:val="false"/>
        <w:snapToGrid w:val="false"/>
        <w:spacing w:lineRule="auto" w:line="276" w:before="0" w:after="283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Dessa forma,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contratação em lote único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mostra-se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mais econômica, eficiente e segura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assegurando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integridade técnica e a rastreabilidade dos serviços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de recarga, com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maior confiabilidade e responsabilidade unificada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sobre todo o sistema de combate a incêndio do Poder Legislativo Municipal.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A presente contratação visa atender às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necessidades de manutenção e segurança preventiva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 do prédio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Câmara Municipal de Três Passos/RS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, por meio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recarga e revisão técnica dos extintores de incêndio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, em conformidade com as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normas legais e regulamentares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 aplicáveis à prevenção e combate a incêndios em edificações públicas.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Espera-se, com a execução do serviço,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assegurar o pleno funcionamento dos equipamentos de combate a incêndio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garantindo que todos os extintores estejam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em condições adequadas de uso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devidamente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identificados com selo de validade e teste hidrostático atualizado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conforme as normas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ABNT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as exigências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Corpo de Bombeiros Militar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medida proporcionará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maior proteção à vida e à integridade física de vereadores, servidores e visitantes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à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preservação do patrimônio público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permitindo uma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resposta rápida e eficaz em eventuais situações de emergência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contribuindo para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continuidade das atividades legislativas com segurança e tranquilidade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Além disso, a contratação reforça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comprometimento institucional da Câmara Municipal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com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prevenção de riscos, a gestão responsável do patrimônio público e a conformidade com a legislação vigente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promovendo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segurança operacional e eficiência administrativa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em suas instalações.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Para a contratação dos serviços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recarga e manutenção dos extintores de incêndio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serão adotadas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providências administrativas voltadas à definição precisa das quantidades, tipos e especificações técnicas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dos equipamentos existentes na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Câmara Municipal de Três Passos/RS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conforme as normas de segurança vigentes e o Plano de Prevenção e Proteção Contra Incêndios (PPCI).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Será elaborado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Termo de Referência detalhado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contemplando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levantamento completo dos extintores instalados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suas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capacidades, localizações e tipos de agentes extintores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além das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condições técnicas exigidas para execução do serviço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abrangendo materiais, prazos, garantia e forma de entrega.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Um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servidor responsável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será designado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acompanhar todas as etapas do processo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desde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retirada dos equipamentos para recarga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até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devolução e reinstalação nas dependências da Câmara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fiscalizando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execução contratual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conformidade dos selos de garantia e validade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cumprimento integral das normas técnicas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por parte da empresa contratada.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Toda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execução do contrato será registrada e documentada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assegurando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rastreabilidade, transparência e controle administrativo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de modo a garantir que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todos os extintores estejam em perfeitas condições de uso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promovendo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segurança de servidores, vereadores e visitantes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proteção efetiva do patrimônio público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Não há, no momento, contratações diretamente correlatas ou interdependentes. Esta contratação é autônoma e supre a necessidade específica de segurança patrimonial da Câmara.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A prestação do serviço de recarga de extintores poderá gerar resíduos de agentes extintores, partes metálicas e componentes inservíveis, cujo descarte inadequado pode causar impactos ao meio ambiente.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Para mitigar esses riscos, a empresa contratada deverá comprovar que realiza o manejo e a destinação final ambientalmente adequada de todos os resíduos gerados, observando a </w:t>
      </w:r>
      <w:r>
        <w:rPr>
          <w:rStyle w:val="Strong"/>
          <w:b w:val="false"/>
          <w:bCs w:val="false"/>
          <w:sz w:val="24"/>
          <w:szCs w:val="24"/>
          <w:lang w:eastAsia="en-US"/>
        </w:rPr>
        <w:t>Política Nacional de Resíduos Sólidos (Lei nº 12.305/2010)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, a </w:t>
      </w:r>
      <w:r>
        <w:rPr>
          <w:rStyle w:val="Strong"/>
          <w:b w:val="false"/>
          <w:bCs w:val="false"/>
          <w:sz w:val="24"/>
          <w:szCs w:val="24"/>
          <w:lang w:eastAsia="en-US"/>
        </w:rPr>
        <w:t>Instrução Normativa SLTI/MPOG nº 01/2010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e as normas técnicas da </w:t>
      </w:r>
      <w:r>
        <w:rPr>
          <w:rStyle w:val="Strong"/>
          <w:b w:val="false"/>
          <w:bCs w:val="false"/>
          <w:sz w:val="24"/>
          <w:szCs w:val="24"/>
          <w:lang w:eastAsia="en-US"/>
        </w:rPr>
        <w:t>ABNT NBR 12962 e NBR 15808.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A contratada deverá manter registro dos comprovantes de destinação final ou do </w:t>
      </w:r>
      <w:r>
        <w:rPr>
          <w:rStyle w:val="Strong"/>
          <w:b w:val="false"/>
          <w:bCs w:val="false"/>
          <w:sz w:val="24"/>
          <w:szCs w:val="24"/>
          <w:lang w:eastAsia="en-US"/>
        </w:rPr>
        <w:t>Manifesto de Transporte de Resíduos (MTR)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, quando aplicável, e apresentá-los à Câmara Municipal sempre que solicitado.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É vedado o descarte de resíduos ou agentes extintores em redes pluviais, solo ou corpos d’água, devendo eventuais materiais ser encaminhados a empresa licenciada, conforme legislação ambiental vigente</w:t>
      </w:r>
      <w:r>
        <w:rPr>
          <w:rStyle w:val="Fontepargpadro"/>
          <w:sz w:val="24"/>
          <w:szCs w:val="24"/>
          <w:lang w:eastAsia="en-US"/>
        </w:rPr>
        <w:t xml:space="preserve">. </w:t>
      </w:r>
    </w:p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</w:rPr>
        <w:t>Três Passos, 21 de outubro de 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LibreOffice/25.2.6.2$Windows_X86_64 LibreOffice_project/729c5bfe710f5eb71ed3bbde9e06a6065e9c6c5d</Application>
  <AppVersion>15.0000</AppVersion>
  <Pages>5</Pages>
  <Words>1984</Words>
  <Characters>11734</Characters>
  <CharactersWithSpaces>13693</CharactersWithSpaces>
  <Paragraphs>94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2024-10-02T14:18:40Z</cp:lastPrinted>
  <dcterms:modified xsi:type="dcterms:W3CDTF">2025-10-22T10:49:56Z</dcterms:modified>
  <cp:revision>122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