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49/2025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RECARGA DE EXTINTORES DA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Strong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contratação de empresa especializada e devidamente credenciada para a execução dos serviços de recarga, inspeção e manutenção de extintores de incêndio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instalados nas dependências da </w:t>
      </w:r>
      <w:r>
        <w:rPr>
          <w:rStyle w:val="Strong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Câmara Municipal de Vereadores de Três Passos/RS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incluindo o fornecimento de todos os materiais, mão de obra, testes, lacres e transporte necessários à plena execução dos serviços, conforme normas técnicas vigentes da </w:t>
      </w:r>
      <w:r>
        <w:rPr>
          <w:rStyle w:val="Strong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ABNT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e demais legislações aplicáveis. 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49/2025.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bidi w:val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3.1. A presente contratação tem por finalidade 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recarga, manutenção preventiva e corretiva dos extintores de incêndio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pertencentes à Câmara Municipal de Vereadores de Três Passos/RS, garantindo que todos os equipamentos permaneçam em conformidade com as normas de segurança vigentes e em condições plenas de funcionamento.</w:t>
      </w:r>
    </w:p>
    <w:p>
      <w:pPr>
        <w:pStyle w:val="BodyText"/>
        <w:spacing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3.2. Os serviços compreenderão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retirada dos extintores nas dependências da Câmara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realização da recarga e dos testes necessários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e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devolução dos equipamentos recarregados e lacrados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prontos para uso imediato, incluindo todos os insumos, materiais e transporte necessários.</w:t>
      </w:r>
    </w:p>
    <w:p>
      <w:pPr>
        <w:pStyle w:val="BodyText"/>
        <w:spacing w:before="0" w:after="283"/>
        <w:rPr/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3.3. A contratação será formalizada por meio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Federal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tendo em vista que o valor estimado não ultrapassa o limite legal estabelecido para essa modalidade.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4.1. Objeto da Contratação</w:t>
      </w:r>
    </w:p>
    <w:p>
      <w:pPr>
        <w:pStyle w:val="BodyText"/>
        <w:spacing w:before="0" w:after="0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A contratação será realizada por </w:t>
      </w:r>
      <w:r>
        <w:rPr>
          <w:rStyle w:val="Strong"/>
          <w:rFonts w:cs="Times New Roman" w:ascii="Times New Roman" w:hAnsi="Times New Roman"/>
          <w:lang w:eastAsia="en-US"/>
        </w:rPr>
        <w:t>dispensa de licitação</w:t>
      </w:r>
      <w:r>
        <w:rPr>
          <w:rFonts w:cs="Times New Roman" w:ascii="Times New Roman" w:hAnsi="Times New Roman"/>
          <w:lang w:eastAsia="en-US"/>
        </w:rPr>
        <w:t>, com fundamento no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>,</w:t>
      </w:r>
      <w:r>
        <w:rPr>
          <w:rFonts w:cs="Times New Roman" w:ascii="Times New Roman" w:hAnsi="Times New Roman"/>
          <w:lang w:eastAsia="en-US"/>
        </w:rPr>
        <w:t xml:space="preserve"> com critério de julgamento pelo </w:t>
      </w:r>
      <w:r>
        <w:rPr>
          <w:rStyle w:val="Strong"/>
          <w:rFonts w:cs="Times New Roman" w:ascii="Times New Roman" w:hAnsi="Times New Roman"/>
          <w:lang w:eastAsia="en-US"/>
        </w:rPr>
        <w:t>menor preço global</w:t>
      </w:r>
      <w:r>
        <w:rPr>
          <w:rFonts w:cs="Times New Roman" w:ascii="Times New Roman" w:hAnsi="Times New Roman"/>
          <w:lang w:eastAsia="en-US"/>
        </w:rPr>
        <w:t>, respeitados os limites legais e os requisitos formais da legislação vigente.</w:t>
      </w:r>
    </w:p>
    <w:p>
      <w:pPr>
        <w:pStyle w:val="BodyText"/>
        <w:spacing w:before="0" w:after="283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 medida visa assegurar o cumprimento das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normas de segurança contra incêndios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garantindo que os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extintores de incêndio da Câmara Municipal de Três Passos/RS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esteja</w:t>
      </w:r>
      <w:r>
        <w:rPr>
          <w:rFonts w:cs="Times New Roman" w:ascii="Times New Roman" w:hAnsi="Times New Roman"/>
          <w:lang w:eastAsia="en-US"/>
        </w:rPr>
        <w:t>m devidamente recarregados, sinalizados e em condições de uso, contribuindo para a preservação da vida, do patrimônio público e da integridade física dos servidores e visitantes.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4.2.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que exercem atividade econômica compatível com o objeto, mediante apresentação 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CNPJ atualizado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descrição do CNAE pertinente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(serviços de manutenção e recarga de extintores de incêndio).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documentos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habilitação jurídica, regularidade fiscal e trabalhista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conforme o disposto nos arts. 63 a 69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contratada deverá comprovar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capacidade técnica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execução dos serviços, por meio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atestado(s) ou declaração(ões)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emitidos por pessoa jurídica de direito público ou privado, que demonstrem experiência prévia na recarga e manutenção de extintores de incêndio.</w:t>
        <w:br/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Será exigida comprovação de que a empresa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possui registro ou credenciamento ativo junto ao Corpo de Bombeiros Militar do Estado do Rio Grande do Sul (CBMRS)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conforme exigido pelas normas de segurança contra incêndio e regulamentações técnicas vigentes.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deverá dispor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responsável técnico habilitado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devidamente registrado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CREA ou CRQ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de acordo com a natureza dos serviços prestados, e comprovar o uso de equipamentos, instrumentos e materiais compatíveis com as normas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ABNT NBR 12962, NBR 15808 e NBR 15809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 xml:space="preserve">4.3. Do Termo de Contrato ou Instrumento Equivalente 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dois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4.3.3.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4.3.4.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no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4.3.5.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4.3.6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4.3.7.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4.3.8.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4.3.9.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4.3.10. </w:t>
      </w:r>
      <w:r>
        <w:rPr>
          <w:rFonts w:ascii="Times New Roman" w:hAnsi="Times New Roman"/>
          <w:sz w:val="24"/>
          <w:szCs w:val="24"/>
        </w:rPr>
        <w:t>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4.3.11. Caso o adjudicatário não comprove as condições de habilitação ou se recuse a assinar o contrato, a Administração poderá convocar outro licitante, respeitada a ordem de classificação, após comprovação de habilitação e análise da proposta.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4.4. Das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a) Executar os serviços de recarga e manutenção dos extintores conforme especificações técnicas e prazos definidos no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Cumprir integralmente as normas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ABNT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INMETRO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Corpo de Bombeiros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bem como as instruções dos fabricantes dos equipamentos;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Garantir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integridade, funcionalidade e conformidade dos extintores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execução dos serviços, substituindo peças danificadas quando necessário;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Emitir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etiqueta de identificação e selo de conformidade do INMETRO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em cada equipamento recarregado;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Entregar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relatório técnico detalhado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contendo número de série, tipo, capacidade, data da recarga, tipo de agente extintor utilizado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f) Assegurar 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descarte ambientalmente adequado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 resíduos e insumos utilizados, conforme legislação ambiental vigente;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g) Manter durante toda a vigência contratual as condições de habilitação, regularidade fiscal e qualificação técnica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h) Indicar preposto ou responsável técnico para interlocução com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i) Fornecer garantia mínima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12 (doze) meses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os serviços executados.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4.5. Valor e Custos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O valor ofertado deverá contemplar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todos os custos necessários à execução dos serviços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incluindo mão de obra, transporte, materiais, insumos, substituição de componentes, testes, lacres, etiquetas, encargos legais e demais despesas incidentes,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vedada qualquer cobrança adicional posterior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Executar o objeto contratado conforme especificações do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Cumprir integralmente normas legais, regulamentares e de segurança aplicáveis;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Fornecer todas os certificados e documentos necessários à execução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Comunicar formalmente à Administração quaisquer irregularidades ou problemas detectados;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Submeter-se à fiscalização e acompanhamento pelos responsáveis designados;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f) Atender solicitações de ajustes, correções ou complementações dentro dos prazos estabelecidos;</w:t>
        <w:br/>
        <w:t>g) Manter durante toda a vigência do contrato as condições de habilitação, regularidade fiscal e qualificação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h) Indicar preposto ou responsável técnico para contato e acompanhamento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i) Garantir a validade, efetividade e conformidade dos itens pelo prazo definido no contrato. 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4.7.1.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 xml:space="preserve">, mediante termo aditivo, até o limite de 10 (dez) anos, conforme o art. 107, § 3º, da Lei nº 14.133/2021, desde que comprovada a vantajosidade e a necessidade de continuidade do serviço. 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Flavio Habitzreiter (ou substituto designado);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4.11. Descrição dos Requisitos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4.11.1.</w:t>
      </w:r>
      <w:r>
        <w:rPr>
          <w:rFonts w:eastAsia="Calibri" w:cs="Times New Roman" w:ascii="Times New Roman" w:hAnsi="Times New Roman"/>
          <w:lang w:eastAsia="en-US"/>
        </w:rPr>
        <w:t xml:space="preserve"> A empresa deverá realizar </w:t>
      </w:r>
      <w:r>
        <w:rPr>
          <w:rStyle w:val="Strong"/>
          <w:rFonts w:eastAsia="Calibri" w:cs="Times New Roman" w:ascii="Times New Roman" w:hAnsi="Times New Roman"/>
          <w:lang w:eastAsia="en-US"/>
        </w:rPr>
        <w:t>recarga completa</w:t>
      </w:r>
      <w:r>
        <w:rPr>
          <w:rFonts w:eastAsia="Calibri" w:cs="Times New Roman" w:ascii="Times New Roman" w:hAnsi="Times New Roman"/>
          <w:lang w:eastAsia="en-US"/>
        </w:rPr>
        <w:t xml:space="preserve"> dos extintores de incêndio, abrangendo:</w:t>
        <w:br/>
        <w:t>a) Verificação e ensaio hidrostático (quando aplicável);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Substituição de válvulas, mangueiras, anéis e demais componentes danificados;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Recarga com o agente extintor correto (água, pó químico seco, CO₂, etc.);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Pintura, rotulagem e fixação de lacres;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Teste de estanqueidade e aferição de pressão;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Entrega devidamente lacrada, com etiqueta de validade e selo do INMETRO.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4.11.2.</w:t>
      </w:r>
      <w:r>
        <w:rPr>
          <w:rFonts w:eastAsia="Calibri" w:cs="Times New Roman" w:ascii="Times New Roman" w:hAnsi="Times New Roman"/>
          <w:lang w:eastAsia="en-US"/>
        </w:rPr>
        <w:t xml:space="preserve"> Os serviços deverão atender às seguintes normas técnicas: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12962</w:t>
      </w:r>
      <w:r>
        <w:rPr>
          <w:rFonts w:eastAsia="Calibri" w:cs="Times New Roman" w:ascii="Times New Roman" w:hAnsi="Times New Roman"/>
          <w:lang w:eastAsia="en-US"/>
        </w:rPr>
        <w:t xml:space="preserve"> – Manutenção de extintores de incêndio;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15808</w:t>
      </w:r>
      <w:r>
        <w:rPr>
          <w:rFonts w:eastAsia="Calibri" w:cs="Times New Roman" w:ascii="Times New Roman" w:hAnsi="Times New Roman"/>
          <w:lang w:eastAsia="en-US"/>
        </w:rPr>
        <w:t xml:space="preserve"> – Extintores de incêndio – Requisitos de fabricação;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15809</w:t>
      </w:r>
      <w:r>
        <w:rPr>
          <w:rFonts w:eastAsia="Calibri" w:cs="Times New Roman" w:ascii="Times New Roman" w:hAnsi="Times New Roman"/>
          <w:lang w:eastAsia="en-US"/>
        </w:rPr>
        <w:t xml:space="preserve"> – Extintores de incêndio – Requisitos de desempenho e segurança;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INMETRO Portaria nº 206/2011</w:t>
      </w:r>
      <w:r>
        <w:rPr>
          <w:rFonts w:eastAsia="Calibri" w:cs="Times New Roman" w:ascii="Times New Roman" w:hAnsi="Times New Roman"/>
          <w:lang w:eastAsia="en-US"/>
        </w:rPr>
        <w:t xml:space="preserve"> e suas alterações;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Legislação estadual do CBMRS</w:t>
      </w:r>
      <w:r>
        <w:rPr>
          <w:rFonts w:eastAsia="Calibri" w:cs="Times New Roman" w:ascii="Times New Roman" w:hAnsi="Times New Roman"/>
          <w:lang w:eastAsia="en-US"/>
        </w:rPr>
        <w:t xml:space="preserve"> vigente sobre prevenção e proteção contra incêndio.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equipamentos deverão ser recolhidos e entregues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nas dependências da Câmara Municipal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revisados e em perfeito estado de funcionamento.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deverá apresentar, ao final dos serviços,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relatório técnico detalhado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com identificação de todos os extintores atendidos, tipo de agente, data da recarga, validade e observações pertinentes.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4.13. </w:t>
      </w:r>
      <w:r>
        <w:rPr>
          <w:rStyle w:val="Strong"/>
          <w:rFonts w:eastAsia="Calibri" w:cs="Times New Roman" w:ascii="Times New Roman" w:hAnsi="Times New Roman"/>
          <w:lang w:eastAsia="en-US"/>
        </w:rPr>
        <w:t>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Contratante: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br/>
        <w:t>a) Fornecer todas as informações e acesso necessários para que a empresa contratada realize a retirada, recarga e devolução dos extintores;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b) Disponibilizar inventário atualizado dos extintores e registro de manutenções anteriores, quando houver;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c) Efetuar os pagamentos previstos no contrato de forma pontual;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d) Acompanhar e fiscalizar a execução do contrato, incluindo conferência dos relatórios técnicos, certificados de recarga e selos de garantia fornecidos pela contratada;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e) Comunicar formalmente à contratada qualquer irregularidade ou ocorrência que possa afetar a execução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f) Manter sigilo e segurança das informações trocadas no âmbito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Contratada:</w:t>
      </w:r>
      <w:r>
        <w:rPr>
          <w:rFonts w:eastAsia="Calibri" w:cs="Times New Roman" w:ascii="Times New Roman" w:hAnsi="Times New Roman"/>
          <w:lang w:eastAsia="en-US"/>
        </w:rPr>
        <w:br/>
        <w:t>a) Executar os serviços de recarga dos extintores conforme as especificações do Termo de Referência, normas da ABNT e regulamentações do INMETRO;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integralmente todas as condições contratuais, legais, regulamentares e de segurança aplicáveis;</w:t>
        <w:br/>
        <w:t>c) Retirar, recarregar e devolver os extintores dentro dos prazos estabelecidos;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Fornecer relatórios periódicos sobre a execução dos serviços, incluindo dados sobre recarga, testes e validade dos equipamentos;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técnico para atendimento e acompanhamento junto à Administração;</w:t>
        <w:br/>
        <w:t>f) Manter durante toda a vigência do contrato todas as condições de habilitação, regularidade fiscal e qualificação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Garantir que todos os profissionais envolvidos estejam capacitados e habilitados para a execução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Cumprir prazos para ajustes, correções ou complementações solicitadas pela fiscalização;</w:t>
        <w:br/>
        <w:t>i) Fornecer selos de garantia atualizados, contendo data da recarga, validade do teste hidrostático e demais informações obrigatórias, sem cobrir gravações originais do extintor;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j) Comunicar formalmente qualquer ocorrência de falha ou sinistro que envolva os extintores, fornecendo documentação necessária para registro e eventual acompanhamento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k) a empresa contratada deverá comprovar que realiza o manejo e a destinação final ambientalmente adequada de todos os resíduos gerados, observando a Política Nacional de Resíduos Sólidos (Lei nº 12.305/2010), a Instrução Normativa SLTI/MPOG nº 01/2010 e as normas técnicas da ABNT NBR 12962 e NBR 15808.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deverá manter registro dos comprovantes de destinação final ou do Manifesto de Transporte de Resíduos (MTR), quando aplicável, e apresentá-los à Câmara Municipal sempre que solicitado.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É vedado o descarte de resíduos ou agentes extintores em redes pluviais, solo ou corpos d’água, devendo eventuais materiais ser encaminhados a empresa licenciada, conforme legislação ambiental vigente.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4.14.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O presente termo de contrato poderá ser extinto: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Amigavelmente, nos termos do art. 138, inciso II,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shd w:fill="auto" w:val="clear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>5.1. Retirada dos Extintores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A empresa contratada dever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á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retirar todos os extintores existentes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nas dependências da Câmara Municipal de Três Passos/RS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no prazo de até 03 (três) dias úteis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contados a partir da data de emissão do empenho.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5.1.1.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Todas as despesas relacionadas à execução do objeto, incluindo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recarga, transporte, deslocamento de pessoal, fretes, insumos, etiquetas e demais custos necessários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, deverão estar incluídas no valor ofertado,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não sendo permitida cobrança adicional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.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4"/>
          <w:szCs w:val="24"/>
          <w:lang w:val="pt-BR" w:eastAsia="ar-SA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5.2. Da entrega dos Extintores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A entrega deverá ocorrer nas dependências da Câmara Municipal,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situado na Rua Salgado Filho, nº 79, Centro, Três Passos/RS, conforme as especificações descritas neste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>5.3. Prazo para Execução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O prazo máximo para a execução completa dos serviços de recarga e manutenção é de </w:t>
      </w: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>10 (dez) dias corridos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, contados a partir da retirada dos extintores nas dependências da Câmara Municipal.</w:t>
        <w:br/>
        <w:t xml:space="preserve">§1º Em caso de necessidade de substituição de componentes ou ajustes técnicos, o prazo poderá ser prorrogado mediante comunicação formal e prévia aprovação da fiscalização do contrato.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5.4. Condições de Qualidade e Conservação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 os extintores recarregados deverão ser entre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gues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em perfeito estado de conservação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em conformidade com as normas da ABNT e com as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boas práticas do setor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§1º Cada extintor deverá apresentar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funcionamento pleno</w:t>
      </w:r>
      <w:r>
        <w:rPr>
          <w:rFonts w:ascii="Times New Roman" w:hAnsi="Times New Roman"/>
          <w:b w:val="false"/>
          <w:bCs w:val="false"/>
          <w:sz w:val="24"/>
          <w:szCs w:val="24"/>
        </w:rPr>
        <w:t>, pressão adequada, lacre original ou substituído e identificação visível e legível.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5.5. Certificação e Registro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 empresa contratada deverá apresentar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Declaração da Conformidade do Fornecedor – Empresa de Serviços de Inspeção Técnica e Manutenção de Extintores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expedida pelo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INMETRO</w:t>
      </w:r>
      <w:r>
        <w:rPr>
          <w:rFonts w:ascii="Times New Roman" w:hAnsi="Times New Roman"/>
          <w:b w:val="false"/>
          <w:bCs w:val="false"/>
          <w:sz w:val="24"/>
          <w:szCs w:val="24"/>
        </w:rPr>
        <w:t>, comprovando a regularidade e a qualificação para prestação do serviço.</w:t>
        <w:br/>
        <w:t xml:space="preserve">§1º O documento deverá ser apresentado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antes do início da execução do contrato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sob pena de suspensão da retirada e execução dos serviços.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ar-SA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ar-SA"/>
        </w:rPr>
        <w:t>5.6. Selos e Identificação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A empresa deverá afixar em cada extintor os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ar-SA"/>
        </w:rPr>
        <w:t>selos de garantia e manutenção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, contendo: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a) Data da recarga;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b) Data do próximo teste hidrostático;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c) Observações quanto a componentes substituídos.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 xml:space="preserve">§1º Os selos devem ser fixados de forma que </w:t>
      </w:r>
      <w:r>
        <w:rPr>
          <w:rStyle w:val="Strong"/>
          <w:rFonts w:eastAsia="Calibri" w:cs="Times New Roman" w:ascii="Times New Roman" w:hAnsi="Times New Roman"/>
          <w:lang w:eastAsia="ar-SA"/>
        </w:rPr>
        <w:t>não cubram gravações ou informações originais</w:t>
      </w:r>
      <w:r>
        <w:rPr>
          <w:rFonts w:eastAsia="Calibri" w:cs="Times New Roman" w:ascii="Times New Roman" w:hAnsi="Times New Roman"/>
          <w:lang w:eastAsia="ar-SA"/>
        </w:rPr>
        <w:t xml:space="preserve"> do equipamento, mantendo a integridade e legibilidade de todas as marcações e instruções.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5.7. Relatórios Técnicos e Documentação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 xml:space="preserve">Ao final da execução, a contratada deverá entregar </w:t>
      </w:r>
      <w:r>
        <w:rPr>
          <w:rStyle w:val="Strong"/>
          <w:rFonts w:eastAsia="Calibri" w:cs="Times New Roman" w:ascii="Times New Roman" w:hAnsi="Times New Roman"/>
          <w:lang w:eastAsia="ar-SA"/>
        </w:rPr>
        <w:t>relatório técnico detalhado</w:t>
      </w:r>
      <w:r>
        <w:rPr>
          <w:rFonts w:eastAsia="Calibri" w:cs="Times New Roman" w:ascii="Times New Roman" w:hAnsi="Times New Roman"/>
          <w:lang w:eastAsia="ar-SA"/>
        </w:rPr>
        <w:t>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a) Número de série e tipo de cada extintor;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b) Tipo de agente extintor utilizado (água, pó químico, CO₂, etc.);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c) Data da recarga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d) Registro das inspeções, testes e substituições realizadas;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e) Certificado de conformidade INMETRO atualizado.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 xml:space="preserve">§1º O relatório será analisado pelo </w:t>
      </w:r>
      <w:r>
        <w:rPr>
          <w:rStyle w:val="Strong"/>
          <w:rFonts w:eastAsia="Calibri" w:cs="Times New Roman" w:ascii="Times New Roman" w:hAnsi="Times New Roman"/>
          <w:lang w:eastAsia="ar-SA"/>
        </w:rPr>
        <w:t>fiscal do contrato</w:t>
      </w:r>
      <w:r>
        <w:rPr>
          <w:rFonts w:eastAsia="Calibri" w:cs="Times New Roman" w:ascii="Times New Roman" w:hAnsi="Times New Roman"/>
          <w:lang w:eastAsia="ar-SA"/>
        </w:rPr>
        <w:t>, que poderá solicitar ajustes ou complementações antes da aceitação definitiva dos serviços.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lang w:val="pt-BR" w:eastAsia="ar-SA" w:bidi="ar-SA"/>
        </w:rPr>
      </w:pPr>
      <w:r>
        <w:rPr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dos extintores devidamente recarregados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31/2025,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R$ 614,34 (seiscentos e quatorze reais e trinta e quatro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3682"/>
        <w:gridCol w:w="1250"/>
        <w:gridCol w:w="1925"/>
        <w:gridCol w:w="1881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Unitário Max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Recarga Extintor ABC 4kg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06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R$ 78,89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R$ 473,34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Recarga Extintor AP 10l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R$ 70,50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R$ 141,00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Valor Max. Total R$ 614,34 (seiscentos e quatorze reais e trinta e quatro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Ação: 2094 - Manutenção das atividades do Poder Legislativo</w:t>
        <w:br/>
        <w:t>Despesa: 3.3.90.30.00.00.00 - Material de consumo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 xml:space="preserve">rês Passos/RS, </w:t>
      </w:r>
      <w:r>
        <w:rPr>
          <w:rFonts w:ascii="Times New Roman" w:hAnsi="Times New Roman"/>
          <w:color w:val="000000"/>
          <w:sz w:val="24"/>
          <w:szCs w:val="24"/>
        </w:rPr>
        <w:t>22 de outubro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Application>LibreOffice/25.2.6.2$Windows_X86_64 LibreOffice_project/729c5bfe710f5eb71ed3bbde9e06a6065e9c6c5d</Application>
  <AppVersion>15.0000</AppVersion>
  <Pages>11</Pages>
  <Words>4319</Words>
  <Characters>24689</Characters>
  <CharactersWithSpaces>28830</CharactersWithSpaces>
  <Paragraphs>239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2025-10-29T16:40:24Z</cp:lastPrinted>
  <dcterms:modified xsi:type="dcterms:W3CDTF">2025-10-29T16:50:07Z</dcterms:modified>
  <cp:revision>106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