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p>
      <w:pPr>
        <w:pStyle w:val="Normal"/>
        <w:spacing w:lineRule="auto" w:line="276"/>
        <w:jc w:val="center"/>
        <w:rPr/>
      </w:pPr>
      <w:r>
        <w:rPr>
          <w:rFonts w:cs="Arial"/>
          <w:b/>
          <w:i w:val="false"/>
          <w:iCs w:val="false"/>
          <w:color w:val="000000"/>
          <w:sz w:val="24"/>
          <w:szCs w:val="24"/>
        </w:rPr>
        <w:t>DOCUMENTO DE FORMALIZAÇÃO DE DEMANDA</w:t>
      </w:r>
    </w:p>
    <w:p>
      <w:pPr>
        <w:pStyle w:val="Normal"/>
        <w:spacing w:lineRule="auto" w:line="276"/>
        <w:jc w:val="center"/>
        <w:rPr/>
      </w:pPr>
      <w:r>
        <w:rPr>
          <w:rFonts w:cs="Arial"/>
          <w:b/>
          <w:i w:val="false"/>
          <w:iCs w:val="false"/>
          <w:color w:val="000000"/>
          <w:sz w:val="24"/>
          <w:szCs w:val="24"/>
          <w:shd w:fill="auto" w:val="clear"/>
        </w:rPr>
        <w:t>N</w:t>
      </w:r>
      <w:r>
        <w:rPr>
          <w:rFonts w:cs="Arial"/>
          <w:b/>
          <w:bCs/>
          <w:i w:val="false"/>
          <w:iCs w:val="false"/>
          <w:color w:val="000000"/>
          <w:sz w:val="24"/>
          <w:szCs w:val="24"/>
          <w:shd w:fill="auto" w:val="clear"/>
        </w:rPr>
        <w:t>° 5</w:t>
      </w:r>
      <w:r>
        <w:rPr>
          <w:rFonts w:cs="Arial"/>
          <w:b/>
          <w:bCs/>
          <w:i w:val="false"/>
          <w:iCs w:val="false"/>
          <w:color w:val="000000"/>
          <w:sz w:val="24"/>
          <w:szCs w:val="24"/>
          <w:shd w:fill="auto" w:val="clear"/>
        </w:rPr>
        <w:t>3</w:t>
      </w:r>
      <w:r>
        <w:rPr>
          <w:rFonts w:cs="Arial"/>
          <w:b/>
          <w:bCs/>
          <w:i w:val="false"/>
          <w:iCs w:val="false"/>
          <w:color w:val="000000"/>
          <w:sz w:val="24"/>
          <w:szCs w:val="24"/>
          <w:shd w:fill="auto" w:val="clear"/>
        </w:rPr>
        <w:t>/</w:t>
      </w:r>
      <w:r>
        <w:rPr>
          <w:rFonts w:cs="Arial"/>
          <w:b/>
          <w:i w:val="false"/>
          <w:iCs w:val="false"/>
          <w:color w:val="000000"/>
          <w:sz w:val="24"/>
          <w:szCs w:val="24"/>
          <w:shd w:fill="auto" w:val="clear"/>
        </w:rPr>
        <w:t>2025</w:t>
      </w:r>
    </w:p>
    <w:p>
      <w:pPr>
        <w:pStyle w:val="Normal"/>
        <w:spacing w:lineRule="auto" w:line="276"/>
        <w:jc w:val="center"/>
        <w:rPr>
          <w:rFonts w:ascii="Times New Roman" w:hAnsi="Times New Roman" w:cs="Arial"/>
          <w:i w:val="false"/>
          <w:i w:val="false"/>
          <w:iCs w:val="false"/>
          <w:color w:val="000000"/>
          <w:sz w:val="22"/>
          <w:szCs w:val="22"/>
        </w:rPr>
      </w:pPr>
      <w:r>
        <w:rPr>
          <w:rFonts w:cs="Arial"/>
          <w:i w:val="false"/>
          <w:iCs w:val="false"/>
          <w:color w:val="000000"/>
          <w:sz w:val="22"/>
          <w:szCs w:val="22"/>
        </w:rPr>
      </w:r>
    </w:p>
    <w:tbl>
      <w:tblPr>
        <w:tblW w:w="9420" w:type="dxa"/>
        <w:jc w:val="left"/>
        <w:tblInd w:w="1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20"/>
      </w:tblGrid>
      <w:tr>
        <w:trPr/>
        <w:tc>
          <w:tcPr>
            <w:tcW w:w="9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 w:before="0" w:after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INFORMAÇÕES GERAIS</w:t>
            </w:r>
          </w:p>
        </w:tc>
      </w:tr>
      <w:tr>
        <w:trPr/>
        <w:tc>
          <w:tcPr>
            <w:tcW w:w="9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57" w:right="17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1.1 Área requisitante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firstLine="850" w:left="-57" w:right="170"/>
              <w:contextualSpacing/>
              <w:jc w:val="both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Câmara Municipal de Três Passos-RS.</w:t>
            </w:r>
          </w:p>
        </w:tc>
      </w:tr>
      <w:tr>
        <w:trPr/>
        <w:tc>
          <w:tcPr>
            <w:tcW w:w="9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38" w:leader="none"/>
              </w:tabs>
              <w:suppressAutoHyphens w:val="true"/>
              <w:overflowPunct w:val="false"/>
              <w:bidi w:val="0"/>
              <w:spacing w:lineRule="auto" w:line="360" w:beforeAutospacing="0" w:before="0" w:afterAutospacing="0" w:after="0"/>
              <w:ind w:hanging="0" w:left="57" w:right="170"/>
              <w:jc w:val="both"/>
              <w:rPr/>
            </w:pP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1.2 Data prevista para conclusão do processo de contratação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firstLine="794" w:left="0" w:right="57"/>
              <w:jc w:val="both"/>
              <w:rPr/>
            </w:pPr>
            <w:r>
              <w:rPr>
                <w:sz w:val="24"/>
                <w:szCs w:val="24"/>
              </w:rPr>
              <w:t>A data pretendida para conclusão da contratação, a fim de evitar prejuízos ou descontinuidade das atividades do Câmara Municipal de Vereadore</w:t>
            </w:r>
            <w:r>
              <w:rPr>
                <w:sz w:val="24"/>
                <w:szCs w:val="24"/>
                <w:shd w:fill="auto" w:val="clear"/>
              </w:rPr>
              <w:t xml:space="preserve">s, é 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>31/12/2025</w:t>
            </w:r>
            <w:r>
              <w:rPr>
                <w:sz w:val="24"/>
                <w:szCs w:val="24"/>
                <w:shd w:fill="auto" w:val="clear"/>
              </w:rPr>
              <w:t>.</w:t>
            </w:r>
          </w:p>
        </w:tc>
      </w:tr>
      <w:tr>
        <w:trPr/>
        <w:tc>
          <w:tcPr>
            <w:tcW w:w="9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uppressAutoHyphens w:val="true"/>
              <w:bidi w:val="0"/>
              <w:spacing w:lineRule="auto" w:line="360" w:before="0" w:after="0"/>
              <w:ind w:hanging="0" w:left="113" w:right="57"/>
              <w:jc w:val="both"/>
              <w:textAlignment w:val="baseline"/>
              <w:rPr/>
            </w:pPr>
            <w:r>
              <w:rPr>
                <w:b/>
                <w:bCs/>
                <w:color w:val="auto"/>
                <w:sz w:val="24"/>
                <w:szCs w:val="24"/>
              </w:rPr>
              <w:t>1.3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Descrição sucinta do objeto</w:t>
            </w:r>
          </w:p>
          <w:p>
            <w:pPr>
              <w:pStyle w:val="BodyText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firstLine="737" w:left="0" w:right="57"/>
              <w:jc w:val="both"/>
              <w:rPr/>
            </w:pPr>
            <w:r>
              <w:rPr>
                <w:rStyle w:val="Strong"/>
                <w:rFonts w:cs="Times New Roman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>Contratação emergencial de empresa construtora especializada para a execução de reparos estruturais no plenário atualmente utilizado pela Câmara Municipal de Vereadores de Três Passos/RS, em razão de comprometimento identificado em 05/09/2025, incluindo danos em parede estrutural que afeta toda a frente do prédio e no forro.</w:t>
            </w:r>
          </w:p>
          <w:p>
            <w:pPr>
              <w:pStyle w:val="BodyText"/>
              <w:spacing w:lineRule="auto" w:line="360" w:before="0" w:after="0"/>
              <w:ind w:firstLine="850" w:left="0" w:right="170"/>
              <w:rPr/>
            </w:pPr>
            <w:r>
              <w:rPr>
                <w:rFonts w:cs="Times New Roman"/>
                <w:sz w:val="24"/>
                <w:szCs w:val="24"/>
                <w:lang w:eastAsia="en-US"/>
              </w:rPr>
              <w:t>O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lang w:eastAsia="en-US"/>
              </w:rPr>
              <w:t xml:space="preserve"> espaço atualmente é utilizado para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  <w:lang w:eastAsia="en-US"/>
              </w:rPr>
              <w:t>sessões, comissões, reuniões e demais atividades da Câmara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lang w:eastAsia="en-US"/>
              </w:rPr>
              <w:t xml:space="preserve">, e a execução da obra é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  <w:lang w:eastAsia="en-US"/>
              </w:rPr>
              <w:t>necessária para garantir a continuidade dessas atividades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lang w:eastAsia="en-US"/>
              </w:rPr>
              <w:t xml:space="preserve">, bem como para permitir o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  <w:lang w:eastAsia="en-US"/>
              </w:rPr>
              <w:t>uso do espaço pelos servidores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lang w:eastAsia="en-US"/>
              </w:rPr>
              <w:t xml:space="preserve">, já que o novo plenário em fase de finalização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  <w:lang w:eastAsia="en-US"/>
              </w:rPr>
              <w:t>não dispõe de ambientes próprios para atendimento interno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lang w:eastAsia="en-US"/>
              </w:rPr>
              <w:t>.</w:t>
            </w:r>
          </w:p>
          <w:p>
            <w:pPr>
              <w:pStyle w:val="BodyText"/>
              <w:spacing w:lineRule="auto" w:line="360" w:before="0" w:after="0"/>
              <w:ind w:firstLine="850" w:left="0" w:right="170"/>
              <w:rPr/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eastAsia="en-US"/>
              </w:rPr>
              <w:t xml:space="preserve">Além disso, após a reforma, o  plenário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  <w:lang w:eastAsia="en-US"/>
              </w:rPr>
              <w:t>continuará a ser utilizado para outros fins institucionais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lang w:eastAsia="en-US"/>
              </w:rPr>
              <w:t>, garantindo aproveitamento do patrimônio público e atendimento às necessidades da Câmara.</w:t>
            </w:r>
          </w:p>
          <w:p>
            <w:pPr>
              <w:pStyle w:val="BodyText"/>
              <w:spacing w:lineRule="auto" w:line="360" w:before="0" w:after="0"/>
              <w:ind w:firstLine="850" w:left="0" w:right="170"/>
              <w:rPr/>
            </w:pPr>
            <w:r>
              <w:rPr>
                <w:rFonts w:cs="Times New Roman"/>
                <w:sz w:val="24"/>
                <w:szCs w:val="24"/>
                <w:lang w:eastAsia="en-US"/>
              </w:rPr>
              <w:t xml:space="preserve">A execução será realizada conforme </w:t>
            </w:r>
            <w:r>
              <w:rPr>
                <w:rStyle w:val="Strong"/>
                <w:rFonts w:cs="Times New Roman"/>
                <w:sz w:val="24"/>
                <w:szCs w:val="24"/>
                <w:lang w:eastAsia="en-US"/>
              </w:rPr>
              <w:t>Memorial Descritivo, Cronograma Físico-Financeiro, Planilha Orçamentária e demais documentos técnicos</w:t>
            </w:r>
            <w:r>
              <w:rPr>
                <w:rFonts w:cs="Times New Roman"/>
                <w:sz w:val="24"/>
                <w:szCs w:val="24"/>
                <w:lang w:eastAsia="en-US"/>
              </w:rPr>
              <w:t xml:space="preserve"> que integram o processo.</w:t>
            </w:r>
          </w:p>
        </w:tc>
      </w:tr>
      <w:tr>
        <w:trPr/>
        <w:tc>
          <w:tcPr>
            <w:tcW w:w="9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360" w:before="0" w:after="0"/>
              <w:ind w:hanging="0" w:left="113" w:right="57"/>
              <w:jc w:val="left"/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color w:val="auto"/>
                <w:sz w:val="24"/>
                <w:szCs w:val="24"/>
                <w:lang w:eastAsia="en-US"/>
              </w:rPr>
              <w:t>1.4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Prioridade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360" w:before="0" w:after="0"/>
              <w:ind w:firstLine="794" w:left="0" w:right="57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Alta.</w:t>
            </w:r>
          </w:p>
        </w:tc>
      </w:tr>
      <w:tr>
        <w:trPr/>
        <w:tc>
          <w:tcPr>
            <w:tcW w:w="9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360" w:before="0" w:after="0"/>
              <w:ind w:firstLine="113" w:left="0" w:right="57"/>
              <w:jc w:val="left"/>
              <w:rPr/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 xml:space="preserve">1.5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de prioridade</w:t>
            </w:r>
          </w:p>
          <w:p>
            <w:pPr>
              <w:pStyle w:val="BodyText"/>
              <w:widowControl w:val="false"/>
              <w:suppressAutoHyphens w:val="true"/>
              <w:overflowPunct w:val="false"/>
              <w:bidi w:val="0"/>
              <w:snapToGrid w:val="false"/>
              <w:spacing w:lineRule="auto" w:line="360" w:before="0" w:after="0"/>
              <w:ind w:firstLine="737" w:left="0" w:right="113"/>
              <w:jc w:val="both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A contratação possui prioridade elevada devido à </w:t>
            </w:r>
            <w:r>
              <w:rPr>
                <w:rStyle w:val="Strong"/>
                <w:rFonts w:cs="Times New Roman"/>
                <w:i w:val="false"/>
                <w:iCs w:val="false"/>
                <w:color w:val="000000"/>
                <w:sz w:val="24"/>
                <w:szCs w:val="24"/>
              </w:rPr>
              <w:t>necessidade de restabelecer imediatamente a integridade estrutural do plenário atualmente utilizado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, garantindo condições seguras de uso para servidores, vereadores, prestadores e público. O comprometimento estrutural identificado inclui </w:t>
            </w:r>
            <w:r>
              <w:rPr>
                <w:rStyle w:val="Strong"/>
                <w:rFonts w:cs="Times New Roman"/>
                <w:i w:val="false"/>
                <w:iCs w:val="false"/>
                <w:color w:val="000000"/>
                <w:sz w:val="24"/>
                <w:szCs w:val="24"/>
              </w:rPr>
              <w:t>danos a parede estrutural e ao forro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, com potencial de agravamento caso não seja realizada intervenção célere.</w:t>
            </w:r>
          </w:p>
          <w:p>
            <w:pPr>
              <w:pStyle w:val="BodyText"/>
              <w:snapToGrid w:val="false"/>
              <w:spacing w:lineRule="auto" w:line="360" w:before="0" w:after="0"/>
              <w:ind w:firstLine="850" w:left="0" w:right="17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A urgência da contratação decorre de fatores objetivos:</w:t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845"/>
                <w:tab w:val="left" w:pos="0" w:leader="none"/>
                <w:tab w:val="left" w:pos="136" w:leader="none"/>
              </w:tabs>
              <w:snapToGrid w:val="false"/>
              <w:spacing w:lineRule="auto" w:line="360" w:before="0" w:after="0"/>
              <w:ind w:firstLine="567" w:left="709" w:right="170"/>
              <w:rPr/>
            </w:pPr>
            <w:r>
              <w:rPr>
                <w:rStyle w:val="Strong"/>
                <w:rFonts w:cs="Times New Roman"/>
                <w:color w:val="000000"/>
                <w:sz w:val="24"/>
                <w:szCs w:val="24"/>
              </w:rPr>
              <w:t>Segurança: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manutenção do espaço seguro para realização de sessões, comissões e demais atividades;</w:t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845"/>
                <w:tab w:val="left" w:pos="0" w:leader="none"/>
                <w:tab w:val="left" w:pos="136" w:leader="none"/>
              </w:tabs>
              <w:snapToGrid w:val="false"/>
              <w:spacing w:lineRule="auto" w:line="360" w:before="0" w:after="0"/>
              <w:ind w:firstLine="567" w:left="709" w:right="170"/>
              <w:rPr/>
            </w:pPr>
            <w:r>
              <w:rPr>
                <w:rStyle w:val="Strong"/>
                <w:rFonts w:cs="Times New Roman"/>
                <w:color w:val="000000"/>
                <w:sz w:val="24"/>
                <w:szCs w:val="24"/>
              </w:rPr>
              <w:t>Continuidade administrativa e legislativa: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o  plenário atualmente utilizado ainda é necessário para funcionamento das atividades internas e públicas, dado que o novo plenário não possui áreas destinadas a servidores;</w:t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845"/>
                <w:tab w:val="left" w:pos="0" w:leader="none"/>
                <w:tab w:val="left" w:pos="136" w:leader="none"/>
              </w:tabs>
              <w:snapToGrid w:val="false"/>
              <w:spacing w:lineRule="auto" w:line="360" w:before="0" w:after="0"/>
              <w:ind w:firstLine="567" w:left="709" w:right="170"/>
              <w:rPr/>
            </w:pPr>
            <w:r>
              <w:rPr>
                <w:rStyle w:val="Strong"/>
                <w:rFonts w:cs="Times New Roman"/>
                <w:color w:val="000000"/>
                <w:sz w:val="24"/>
                <w:szCs w:val="24"/>
              </w:rPr>
              <w:t>Preservação do patrimônio público: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reparos evitam agravamento dos danos, reduzindo custos futuros;</w:t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845"/>
                <w:tab w:val="left" w:pos="0" w:leader="none"/>
                <w:tab w:val="left" w:pos="136" w:leader="none"/>
              </w:tabs>
              <w:snapToGrid w:val="false"/>
              <w:spacing w:lineRule="auto" w:line="360" w:before="0" w:after="0"/>
              <w:ind w:firstLine="567" w:left="709" w:right="170"/>
              <w:rPr/>
            </w:pPr>
            <w:r>
              <w:rPr>
                <w:rStyle w:val="Strong"/>
                <w:rFonts w:cs="Times New Roman"/>
                <w:color w:val="000000"/>
                <w:sz w:val="24"/>
                <w:szCs w:val="24"/>
              </w:rPr>
              <w:t>Aproveitamento do espaço reformado: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após a intervenção, o plenário continuará sendo utilizado para outros fins institucionais, garantindo o melhor uso do patrimônio público.</w:t>
            </w:r>
          </w:p>
          <w:p>
            <w:pPr>
              <w:pStyle w:val="BodyText"/>
              <w:snapToGrid w:val="false"/>
              <w:spacing w:lineRule="auto" w:line="360" w:before="0" w:after="283"/>
              <w:ind w:firstLine="850" w:left="0" w:right="17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Diante disso, a intervenção emergencial é </w:t>
            </w:r>
            <w:r>
              <w:rPr>
                <w:rStyle w:val="Strong"/>
                <w:rFonts w:cs="Times New Roman"/>
                <w:color w:val="000000"/>
                <w:sz w:val="24"/>
                <w:szCs w:val="24"/>
              </w:rPr>
              <w:t>fundamental para a continuidade segura das atividades legislativas e administrativas</w:t>
            </w:r>
            <w:r>
              <w:rPr>
                <w:rFonts w:cs="Times New Roman"/>
                <w:color w:val="000000"/>
                <w:sz w:val="24"/>
                <w:szCs w:val="24"/>
              </w:rPr>
              <w:t>, protegendo pessoas, patrimônio e assegurando eficiência institucional.</w:t>
            </w:r>
          </w:p>
        </w:tc>
      </w:tr>
    </w:tbl>
    <w:p>
      <w:pPr>
        <w:pStyle w:val="Normal"/>
        <w:spacing w:lineRule="auto" w:line="276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2"/>
          <w:szCs w:val="22"/>
        </w:rPr>
      </w:pPr>
      <w:r>
        <w:rPr>
          <w:i w:val="false"/>
          <w:iCs w:val="false"/>
          <w:color w:val="000000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2"/>
          <w:szCs w:val="22"/>
        </w:rPr>
      </w:pPr>
      <w:r>
        <w:rPr>
          <w:i w:val="false"/>
          <w:iCs w:val="false"/>
          <w:color w:val="000000"/>
          <w:sz w:val="22"/>
          <w:szCs w:val="22"/>
        </w:rPr>
      </w:r>
    </w:p>
    <w:tbl>
      <w:tblPr>
        <w:tblW w:w="9471" w:type="dxa"/>
        <w:jc w:val="left"/>
        <w:tblInd w:w="1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71"/>
      </w:tblGrid>
      <w:tr>
        <w:trPr/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76" w:before="0" w:after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DA NECESSIDADE</w:t>
            </w:r>
          </w:p>
        </w:tc>
      </w:tr>
      <w:tr>
        <w:trPr>
          <w:trHeight w:val="2835" w:hRule="atLeast"/>
        </w:trPr>
        <w:tc>
          <w:tcPr>
            <w:tcW w:w="9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firstLine="794" w:left="0" w:right="113"/>
              <w:jc w:val="both"/>
              <w:rPr/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A presente contratação justifica-se pela necessidade urgente de garantir a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</w:rPr>
              <w:t>segurança e a integridade estrutural do plenário atualmente utilizado pela Câmara Municipal de Vereadores de Três Passos/RS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, em razão de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</w:rPr>
              <w:t>comprometimento estrutural identificado em 05/09/2025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, incluindo danos à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</w:rPr>
              <w:t>parede estrutural que compromete toda a frente do prédio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 e ao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</w:rPr>
              <w:t>forro do espaço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.</w:t>
            </w:r>
          </w:p>
          <w:p>
            <w:pPr>
              <w:pStyle w:val="BodyText"/>
              <w:widowControl/>
              <w:spacing w:lineRule="auto" w:line="360" w:before="0" w:after="0"/>
              <w:ind w:firstLine="850" w:left="0" w:right="170"/>
              <w:rPr/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A obra é imprescindível para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</w:rPr>
              <w:t>restaurar a estrutura danificada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, preservar o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</w:rPr>
              <w:t>patrimônio público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 e assegurar condições seguras de uso para servidores, vereadores e demais usuários, prevenindo riscos de acidentes e evitando a ampliação dos danos ao imóvel.</w:t>
            </w:r>
          </w:p>
          <w:p>
            <w:pPr>
              <w:pStyle w:val="BodyText"/>
              <w:widowControl/>
              <w:spacing w:lineRule="auto" w:line="360" w:before="0" w:after="0"/>
              <w:ind w:firstLine="850" w:left="0" w:right="170"/>
              <w:rPr/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O reparo emergencial é igualmente necessário para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</w:rPr>
              <w:t>assegurar a continuidade das atividades legislativas e administrativas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, mantendo o uso do  plenário para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</w:rPr>
              <w:t>sessões, comissões, reuniões e atividades dos servidores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, uma vez que o novo plenário em fase de finalização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</w:rPr>
              <w:t>não dispõe de ambientes próprios para atendimento interno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.</w:t>
            </w:r>
          </w:p>
          <w:p>
            <w:pPr>
              <w:pStyle w:val="BodyText"/>
              <w:widowControl/>
              <w:spacing w:lineRule="auto" w:line="360" w:before="0" w:after="0"/>
              <w:ind w:firstLine="850" w:left="0" w:right="170"/>
              <w:rPr/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Além disso, o espaço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</w:rPr>
              <w:t>continuará a ser utilizado para outros fins institucionais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 após a reforma, garantindo o aproveitamento do patrimônio público.</w:t>
            </w:r>
          </w:p>
          <w:p>
            <w:pPr>
              <w:pStyle w:val="BodyText"/>
              <w:widowControl/>
              <w:spacing w:lineRule="auto" w:line="360" w:before="0" w:after="0"/>
              <w:ind w:firstLine="850" w:left="0" w:right="170"/>
              <w:rPr/>
            </w:pPr>
            <w:r>
              <w:rPr>
                <w:rFonts w:cs="Times New Roman"/>
                <w:sz w:val="24"/>
                <w:szCs w:val="24"/>
              </w:rPr>
              <w:t>Registra-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se que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</w:rPr>
              <w:t xml:space="preserve">foi anteriormente instaurado o </w:t>
            </w:r>
            <w:r>
              <w:rPr>
                <w:rStyle w:val="Strong"/>
                <w:rFonts w:cs="Times New Roman"/>
                <w:b/>
                <w:bCs/>
                <w:sz w:val="24"/>
                <w:szCs w:val="24"/>
              </w:rPr>
              <w:t>Processo Licitatório nº 46/2025 – Dispensa de Licitação nº 28/2025, publicado em 30 de setembro de 2025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</w:rPr>
              <w:t>, o qual restou deserto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, em razão da ausência de manifestação de interesse por parte de fornecedores,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</w:rPr>
              <w:t>mesmo após o envio de mais de 30 solicitações de orçamento a empresas do ramo, sem retorno até o prazo final de recebimento de propostas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. Além disso, foi publicado Aviso de Manifestação de Interesse no site da Câmara, no jornal de circulação local, no PNCP e Licitacon/RS.</w:t>
            </w:r>
          </w:p>
          <w:p>
            <w:pPr>
              <w:pStyle w:val="BodyText"/>
              <w:spacing w:lineRule="auto" w:line="360"/>
              <w:ind w:firstLine="850" w:left="0" w:right="170"/>
              <w:rPr/>
            </w:pPr>
            <w:r>
              <w:rPr>
                <w:sz w:val="24"/>
                <w:szCs w:val="24"/>
              </w:rPr>
              <w:t>Devido ao</w:t>
            </w:r>
            <w:r>
              <w:rPr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Style w:val="Strong"/>
                <w:rFonts w:cs="Times New Roman"/>
                <w:b/>
                <w:bCs/>
                <w:sz w:val="24"/>
                <w:szCs w:val="24"/>
              </w:rPr>
              <w:t>Processo Licitatório nº 46/2025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</w:rPr>
              <w:t xml:space="preserve"> ter sido deserto</w:t>
            </w:r>
            <w:r>
              <w:rPr>
                <w:b w:val="false"/>
                <w:bCs w:val="false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foi instaurado o </w:t>
            </w:r>
            <w:r>
              <w:rPr>
                <w:b/>
                <w:bCs/>
                <w:sz w:val="24"/>
                <w:szCs w:val="24"/>
              </w:rPr>
              <w:t xml:space="preserve">Processo Licitatório nº 47/2025 – Dispensa de Licitação nº 29/2025, publicado em 10 de outubro de 2025, </w:t>
            </w:r>
            <w:r>
              <w:rPr>
                <w:b w:val="false"/>
                <w:bCs w:val="false"/>
                <w:sz w:val="24"/>
                <w:szCs w:val="24"/>
              </w:rPr>
              <w:t>o qual restou fracassado,</w:t>
            </w:r>
            <w:r>
              <w:rPr>
                <w:sz w:val="24"/>
                <w:szCs w:val="24"/>
              </w:rPr>
              <w:t xml:space="preserve"> visto que foram obtidas propostas, porém nenhuma das empresas participantes entregou a documentação de habilitação dentro do prazo exigido para formalização da contratação. Diante</w:t>
            </w:r>
            <w:r>
              <w:rPr>
                <w:rFonts w:cs="Times New Roman"/>
                <w:sz w:val="24"/>
                <w:szCs w:val="24"/>
              </w:rPr>
              <w:t xml:space="preserve"> do exposto, e considerando que </w:t>
            </w:r>
            <w:r>
              <w:rPr>
                <w:rStyle w:val="Strong"/>
                <w:rFonts w:cs="Times New Roman"/>
                <w:sz w:val="24"/>
                <w:szCs w:val="24"/>
              </w:rPr>
              <w:t>a necessidade da obra persiste e possui caráter urgente</w:t>
            </w:r>
            <w:r>
              <w:rPr>
                <w:rFonts w:cs="Times New Roman"/>
                <w:sz w:val="24"/>
                <w:szCs w:val="24"/>
              </w:rPr>
              <w:t xml:space="preserve">, justifica-se a abertura de novo processo de dispensa de licitação, onde  os prazos  para apresentação dos documentos de habilitação serão ampliados de 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02 (dois) </w:t>
            </w:r>
            <w:r>
              <w:rPr>
                <w:rFonts w:cs="Times New Roman"/>
                <w:sz w:val="24"/>
                <w:szCs w:val="24"/>
              </w:rPr>
              <w:t xml:space="preserve">para 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05 (cinco) dias úteis, </w:t>
            </w:r>
            <w:r>
              <w:rPr>
                <w:rFonts w:cs="Times New Roman"/>
                <w:sz w:val="24"/>
                <w:szCs w:val="24"/>
              </w:rPr>
              <w:t>com a finalidade de proporcionar maior oportunidade de participação a um número mais amplo de fornecedores, favorecer a competitividade e assegurar o êxito e a legalidade do procedimento. Essa medida tem como objetivo de viabilizar a contratação de empresa especializada para execução dos serviços, garantindo a segurança, a continuidade das atividades legislativas e a preservação do patrimônio público.</w:t>
            </w:r>
          </w:p>
          <w:p>
            <w:pPr>
              <w:pStyle w:val="BodyText"/>
              <w:widowControl/>
              <w:spacing w:lineRule="auto" w:line="360" w:before="0" w:after="0"/>
              <w:ind w:firstLine="850" w:left="0" w:right="17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 execução da obra, portanto, configura medida de gestão responsável e preventiva, que, além de resguardar a integridade das pessoas, protege o patrimônio público, reduz custos futuros e assegura o adequado funcionamento institucional da Câmara Municipal de Três Passos/RS.</w:t>
            </w:r>
          </w:p>
        </w:tc>
      </w:tr>
    </w:tbl>
    <w:p>
      <w:pPr>
        <w:pStyle w:val="Normal"/>
        <w:bidi w:val="0"/>
        <w:spacing w:lineRule="auto" w:line="276"/>
        <w:jc w:val="both"/>
        <w:rPr/>
      </w:pPr>
      <w:r>
        <w:rPr>
          <w:sz w:val="22"/>
          <w:szCs w:val="22"/>
        </w:rPr>
        <w:tab/>
      </w:r>
    </w:p>
    <w:p>
      <w:pPr>
        <w:pStyle w:val="Standard"/>
        <w:spacing w:lineRule="auto" w:line="276"/>
        <w:jc w:val="both"/>
        <w:rPr/>
      </w:pPr>
      <w:r>
        <w:rPr>
          <w:b/>
          <w:bCs/>
          <w:color w:val="FF0000"/>
          <w:sz w:val="22"/>
          <w:szCs w:val="22"/>
        </w:rPr>
        <w:tab/>
      </w:r>
      <w:r>
        <w:rPr>
          <w:b w:val="false"/>
          <w:bCs w:val="false"/>
          <w:i w:val="false"/>
          <w:iCs w:val="false"/>
          <w:color w:val="FF0000"/>
          <w:sz w:val="22"/>
          <w:szCs w:val="22"/>
        </w:rPr>
        <w:tab/>
      </w:r>
    </w:p>
    <w:tbl>
      <w:tblPr>
        <w:tblW w:w="9420" w:type="dxa"/>
        <w:jc w:val="left"/>
        <w:tblInd w:w="1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0"/>
        <w:gridCol w:w="8689"/>
      </w:tblGrid>
      <w:tr>
        <w:trPr/>
        <w:tc>
          <w:tcPr>
            <w:tcW w:w="9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170" w:right="113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>3. MATERIAIS A SEREM CONTRATADOS</w:t>
            </w:r>
          </w:p>
        </w:tc>
      </w:tr>
      <w:tr>
        <w:trPr/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b/>
                <w:bCs/>
                <w:i w:val="false"/>
                <w:iCs w:val="false"/>
                <w:color w:val="auto"/>
                <w:sz w:val="20"/>
                <w:szCs w:val="20"/>
              </w:rPr>
              <w:t>ITEM</w:t>
            </w:r>
          </w:p>
        </w:tc>
        <w:tc>
          <w:tcPr>
            <w:tcW w:w="8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</w:tr>
      <w:tr>
        <w:trPr>
          <w:trHeight w:val="624" w:hRule="atLeast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spacing w:lineRule="auto" w:line="276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both"/>
              <w:rPr/>
            </w:pPr>
            <w:r>
              <w:rPr>
                <w:rStyle w:val="Fontepargpadro"/>
                <w:rFonts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auto" w:val="clear"/>
                <w:lang w:eastAsia="en-US"/>
              </w:rPr>
              <w:t xml:space="preserve">Execução de obra emergencial de reparo estrutural no plenário atualmente utilizado da Câmara Municipal de Vereadores de Três Passos/RS, abrangendo fornecimento de materiais, mão de obra especializada e ART/RRT técnico, </w:t>
            </w:r>
            <w:r>
              <w:rPr>
                <w:rStyle w:val="Strong"/>
                <w:rFonts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auto" w:val="clear"/>
                <w:lang w:eastAsia="en-US"/>
              </w:rPr>
              <w:t>a ser realizada conforme Memorial Descritivo, Cronograma Físico-Financeiro, Planilha Orçamentária e demais documentos técnicos que integram este processo</w:t>
            </w:r>
            <w:r>
              <w:rPr>
                <w:rStyle w:val="Fontepargpadro"/>
                <w:rFonts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shd w:fill="auto" w:val="clear"/>
                <w:lang w:eastAsia="en-US"/>
              </w:rPr>
              <w:t>.</w:t>
            </w:r>
          </w:p>
        </w:tc>
      </w:tr>
    </w:tbl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left="113" w:right="0"/>
        <w:jc w:val="both"/>
        <w:rPr/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7"/>
        <w:gridCol w:w="4662"/>
      </w:tblGrid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57" w:right="17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4. RESPONSÁVEIS PELA CONTRATAÇÃO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left"/>
              <w:rPr/>
            </w:pPr>
            <w:r>
              <w:rPr>
                <w:b/>
                <w:bCs/>
                <w:i w:val="false"/>
                <w:iCs w:val="false"/>
                <w:color w:val="auto"/>
                <w:sz w:val="22"/>
                <w:szCs w:val="22"/>
              </w:rPr>
              <w:t>Nome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left"/>
              <w:rPr/>
            </w:pPr>
            <w:r>
              <w:rPr>
                <w:b/>
                <w:bCs/>
                <w:sz w:val="22"/>
                <w:szCs w:val="22"/>
              </w:rPr>
              <w:t>Cargo/função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both"/>
              <w:rPr/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Andrieli Camila Hepp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both"/>
              <w:rPr/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Assistente Administrativa</w:t>
            </w:r>
          </w:p>
        </w:tc>
      </w:tr>
    </w:tbl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right="0"/>
        <w:jc w:val="left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00"/>
        <w:gridCol w:w="3100"/>
        <w:gridCol w:w="3100"/>
      </w:tblGrid>
      <w:tr>
        <w:trPr/>
        <w:tc>
          <w:tcPr>
            <w:tcW w:w="9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57" w:right="57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5. ACOMPANHAMENTO DA CONTRATAÇÃO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Descrição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Responsável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Data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Fiscalização contratual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both"/>
              <w:rPr/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Andrieli Camila Hepp</w:t>
            </w:r>
          </w:p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both"/>
              <w:rPr/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Assistente administrativa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both"/>
              <w:rPr/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Durante vigência contratual</w:t>
            </w:r>
          </w:p>
        </w:tc>
      </w:tr>
    </w:tbl>
    <w:p>
      <w:pPr>
        <w:pStyle w:val="ListParagraph"/>
        <w:numPr>
          <w:ilvl w:val="0"/>
          <w:numId w:val="0"/>
        </w:numPr>
        <w:spacing w:lineRule="auto" w:line="276"/>
        <w:ind w:hanging="0" w:left="0"/>
        <w:jc w:val="both"/>
        <w:rPr>
          <w:rFonts w:ascii="Times New Roman" w:hAnsi="Times New Roman"/>
          <w:i w:val="false"/>
          <w:i w:val="false"/>
          <w:iCs w:val="false"/>
          <w:color w:val="000000"/>
          <w:sz w:val="12"/>
          <w:szCs w:val="12"/>
        </w:rPr>
      </w:pPr>
      <w:r>
        <w:rPr>
          <w:rFonts w:ascii="Times New Roman" w:hAnsi="Times New Roman"/>
          <w:i w:val="false"/>
          <w:iCs w:val="false"/>
          <w:color w:val="000000"/>
          <w:sz w:val="12"/>
          <w:szCs w:val="12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7"/>
        <w:gridCol w:w="4662"/>
      </w:tblGrid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lineRule="auto" w:line="276" w:before="0" w:after="29"/>
              <w:ind w:hanging="0" w:left="57" w:right="57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6. ASSINATURAS DOS RESPONSÁVEIS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center"/>
              <w:rPr/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DFD finalizado em: 10/11/2025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De acordo, encaminhe-se p/ análise</w:t>
            </w:r>
          </w:p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e providências.</w:t>
            </w:r>
          </w:p>
        </w:tc>
      </w:tr>
      <w:tr>
        <w:trPr>
          <w:trHeight w:val="787" w:hRule="atLeast"/>
        </w:trPr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center"/>
              <w:rPr>
                <w:rFonts w:eastAsia="Calibri" w:cs=""/>
                <w:b/>
                <w:bCs/>
                <w:i w:val="false"/>
                <w:i w:val="false"/>
                <w:iCs w:val="false"/>
                <w:color w:val="FF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FF0000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/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Emanuelle C. C. Petrazzini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/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Diretora Geral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/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Flavio Habitzreiter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/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Presidente</w:t>
            </w:r>
          </w:p>
        </w:tc>
      </w:tr>
    </w:tbl>
    <w:p>
      <w:pPr>
        <w:pStyle w:val="ListParagraph"/>
        <w:numPr>
          <w:ilvl w:val="0"/>
          <w:numId w:val="0"/>
        </w:numPr>
        <w:spacing w:lineRule="auto" w:line="276" w:before="0" w:after="200"/>
        <w:ind w:hanging="0" w:left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330" w:top="1980" w:footer="600" w:bottom="14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845"/>
        <w:tab w:val="left" w:pos="5694" w:leader="none"/>
      </w:tabs>
      <w:spacing w:before="101" w:after="0"/>
      <w:ind w:firstLine="850" w:left="0" w:right="170"/>
      <w:jc w:val="center"/>
      <w:rPr>
        <w:b/>
        <w:bCs/>
        <w:color w:val="auto"/>
      </w:rPr>
    </w:pPr>
    <w:r>
      <w:rPr>
        <w:b/>
        <w:bCs/>
        <w:color w:val="auto"/>
        <w:sz w:val="24"/>
        <w:szCs w:val="24"/>
      </w:rPr>
      <w:t>Rua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Salgado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Filho,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79</w:t>
    </w:r>
    <w:r>
      <w:rPr>
        <w:b/>
        <w:bCs/>
        <w:color w:val="auto"/>
        <w:spacing w:val="30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-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Três</w:t>
    </w:r>
    <w:r>
      <w:rPr>
        <w:b/>
        <w:bCs/>
        <w:color w:val="auto"/>
        <w:spacing w:val="-20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Passos/RS-</w:t>
    </w:r>
    <w:r>
      <w:rPr>
        <w:b/>
        <w:bCs/>
        <w:color w:val="auto"/>
        <w:spacing w:val="30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CEP: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98600-000</w:t>
    </w:r>
    <w:r>
      <w:rPr>
        <w:b/>
        <w:bCs/>
        <w:color w:val="auto"/>
        <w:spacing w:val="3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Fone: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(55)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3522</w:t>
    </w:r>
    <w:r>
      <w:rPr>
        <w:b/>
        <w:bCs/>
        <w:color w:val="auto"/>
        <w:spacing w:val="-21"/>
        <w:sz w:val="24"/>
        <w:szCs w:val="24"/>
      </w:rPr>
      <w:t>-</w:t>
    </w:r>
    <w:r>
      <w:rPr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845"/>
        <w:tab w:val="left" w:pos="5694" w:leader="none"/>
      </w:tabs>
      <w:spacing w:before="0" w:after="0"/>
      <w:ind w:firstLine="850" w:left="0" w:right="170"/>
      <w:jc w:val="center"/>
      <w:rPr/>
    </w:pPr>
    <w:r>
      <w:rPr>
        <w:b/>
        <w:bCs/>
        <w:color w:val="auto"/>
        <w:w w:val="95"/>
        <w:sz w:val="24"/>
        <w:szCs w:val="24"/>
      </w:rPr>
      <w:t>E-mail:</w:t>
    </w:r>
    <w:r>
      <w:rPr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b/>
        <w:bCs/>
        <w:color w:val="auto"/>
        <w:w w:val="95"/>
        <w:sz w:val="24"/>
        <w:szCs w:val="24"/>
      </w:rPr>
      <w:t>-</w:t>
    </w:r>
    <w:r>
      <w:rPr>
        <w:b/>
        <w:bCs/>
        <w:color w:val="auto"/>
        <w:sz w:val="24"/>
        <w:szCs w:val="24"/>
      </w:rPr>
      <w:t>Site:</w:t>
    </w:r>
    <w:r>
      <w:rPr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845"/>
        <w:tab w:val="left" w:pos="5694" w:leader="none"/>
      </w:tabs>
      <w:spacing w:before="101" w:after="0"/>
      <w:ind w:firstLine="850" w:left="0" w:right="170"/>
      <w:jc w:val="center"/>
      <w:rPr>
        <w:b/>
        <w:bCs/>
        <w:color w:val="auto"/>
      </w:rPr>
    </w:pPr>
    <w:r>
      <w:rPr>
        <w:b/>
        <w:bCs/>
        <w:color w:val="auto"/>
        <w:sz w:val="24"/>
        <w:szCs w:val="24"/>
      </w:rPr>
      <w:t>Rua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Salgado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Filho,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79</w:t>
    </w:r>
    <w:r>
      <w:rPr>
        <w:b/>
        <w:bCs/>
        <w:color w:val="auto"/>
        <w:spacing w:val="30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-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Três</w:t>
    </w:r>
    <w:r>
      <w:rPr>
        <w:b/>
        <w:bCs/>
        <w:color w:val="auto"/>
        <w:spacing w:val="-20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Passos/RS-</w:t>
    </w:r>
    <w:r>
      <w:rPr>
        <w:b/>
        <w:bCs/>
        <w:color w:val="auto"/>
        <w:spacing w:val="30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CEP: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98600-000</w:t>
    </w:r>
    <w:r>
      <w:rPr>
        <w:b/>
        <w:bCs/>
        <w:color w:val="auto"/>
        <w:spacing w:val="3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Fone: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(55)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3522</w:t>
    </w:r>
    <w:r>
      <w:rPr>
        <w:b/>
        <w:bCs/>
        <w:color w:val="auto"/>
        <w:spacing w:val="-21"/>
        <w:sz w:val="24"/>
        <w:szCs w:val="24"/>
      </w:rPr>
      <w:t>-</w:t>
    </w:r>
    <w:r>
      <w:rPr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845"/>
        <w:tab w:val="left" w:pos="5694" w:leader="none"/>
      </w:tabs>
      <w:spacing w:before="0" w:after="0"/>
      <w:ind w:firstLine="850" w:left="0" w:right="170"/>
      <w:jc w:val="center"/>
      <w:rPr/>
    </w:pPr>
    <w:r>
      <w:rPr>
        <w:b/>
        <w:bCs/>
        <w:color w:val="auto"/>
        <w:w w:val="95"/>
        <w:sz w:val="24"/>
        <w:szCs w:val="24"/>
      </w:rPr>
      <w:t>E-mail:</w:t>
    </w:r>
    <w:r>
      <w:rPr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b/>
        <w:bCs/>
        <w:color w:val="auto"/>
        <w:w w:val="95"/>
        <w:sz w:val="24"/>
        <w:szCs w:val="24"/>
      </w:rPr>
      <w:t>-</w:t>
    </w:r>
    <w:r>
      <w:rPr>
        <w:b/>
        <w:bCs/>
        <w:color w:val="auto"/>
        <w:sz w:val="24"/>
        <w:szCs w:val="24"/>
      </w:rPr>
      <w:t>Site:</w:t>
    </w:r>
    <w:r>
      <w:rPr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6"/>
  <w:embedSystemFonts/>
  <w:defaultTabStop w:val="709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widowControl w:val="false"/>
      <w:numPr>
        <w:ilvl w:val="0"/>
        <w:numId w:val="0"/>
      </w:numPr>
      <w:tabs>
        <w:tab w:val="clear" w:pos="709"/>
        <w:tab w:val="left" w:pos="845" w:leader="none"/>
      </w:tabs>
      <w:suppressAutoHyphens w:val="true"/>
      <w:overflowPunct w:val="false"/>
      <w:bidi w:val="0"/>
      <w:spacing w:lineRule="auto" w:line="276" w:before="0" w:after="283"/>
      <w:ind w:firstLine="850" w:left="0" w:right="170"/>
      <w:jc w:val="both"/>
    </w:pPr>
    <w:rPr>
      <w:rFonts w:ascii="Times New Roman" w:hAnsi="Times New Roman" w:cs="Arial"/>
      <w:sz w:val="22"/>
      <w:szCs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3393</TotalTime>
  <Application>LibreOffice/25.2.6.2$Windows_X86_64 LibreOffice_project/729c5bfe710f5eb71ed3bbde9e06a6065e9c6c5d</Application>
  <AppVersion>15.0000</AppVersion>
  <Pages>4</Pages>
  <Words>979</Words>
  <Characters>6032</Characters>
  <CharactersWithSpaces>6955</CharactersWithSpaces>
  <Paragraphs>68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2025-04-25T15:54:00Z</dcterms:created>
  <dc:creator>suporte</dc:creator>
  <dc:description/>
  <dc:language>pt-BR</dc:language>
  <cp:lastModifiedBy/>
  <cp:lastPrinted>2025-10-08T10:17:56Z</cp:lastPrinted>
  <dcterms:modified xsi:type="dcterms:W3CDTF">2025-11-13T08:15:05Z</dcterms:modified>
  <cp:revision>160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