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54/2025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PONTO DE ACESSO WIRELESS DUAL BAND TECNOLOGIA WIFI 7 E UM APARELHO SWICTH PARA 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PONTO DE ACESSO WIRELESS DUAL BAND TECNOLOGIA WIFI 7 E UM APARELHO SWICTH PARA 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54/2025.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Essa contratação disponibilizará uma infraestrutura de conectividade sem fio compatível com as novas demandas de uso da Câmara Municipal.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A aquisiç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ão de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Ponto de Acesso Wireless Dual Band com tecnologia Wi-Fi oferecerá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uma rede estável, segura e de alto desempenho, adequada ao novo espaço da Câmara. 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Wi-Fi 7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representa um avanço significativo em relação às versões anteriores (Wi-Fi 5 e Wi-Fi 6), proporcionando maior velocidade, menor latência e mais estabilidade, mesmo em locais com muitos dispositivos conectados  que será comum durante as  sessões plenárias, transmissões ao vivo e eventos oficiais.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O novo plenário foi planejado para comportar os vereadores, servidores, imprensa e público, o que exige uma rede capaz de suportar diversos acessos simultâneos sem perda de qualidade. 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Wi-Fi 7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foi dese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nvolvido para atender a ambientes de alta densidade, garantindo conexão estável a todos os usuários. Além disso, os sistemas tecnológicos do plenário — como cronômetro, equipamentos audiovisuais e dispositivos de transmissão online — dependem de conectividade rápida e confiável. O ponto de acesso com Wi-Fi 7 assegura o funcionamento integrado desses recursos, reduzindo falhas e interrupções nas atividades legislativas.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Outro ponto fundamental é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segurança da rede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. Os dispositivos compatíveis com Wi-Fi 7 utilizam protocolos modernos, como 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WPA3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que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ampliam a proteção contra acessos não autorizados e garantem a confidencialidade das informações trafegadas.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A adoção dessa tecnologia de última geração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também representa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investimento estratégico e duradouro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preparando a infraestrutura da Câmara para as futuras evoluções tecnológicas sem necessidade de substituição prematura de equipamentos.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Da mesma forma, a aquisição de um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switch de alta qualidade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é indispensável para o pleno funcionamento da rede do Novo Plenário. Esse equipamento assegura maior velocidade na troca de dados, reduz falhas de conexão e possibilita o controle inteligente do tráfego de rede, sustentando sistemas essenciais como videomonitoramento, transmissão de sessões, internet, telefonia IP e plataformas legislativas.</w:t>
      </w:r>
    </w:p>
    <w:p>
      <w:pPr>
        <w:pStyle w:val="BodyText"/>
        <w:spacing w:lineRule="auto" w:line="276" w:before="0" w:after="283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Em síntese, a implementação de equipamentos de rede de alto desempenho — como o Ponto de Acesso Wi-Fi 7 e o switch — garantirá que o Novo Plenário opere com máxima eficiência, segurança e estabilidade. Esses investimentos fortalecem a conectividade, a comunicação e a transparência institucional, consolidando a Câmara Municipal de Três Passos como referência em modernização e gestão responsável dos recursos públicos.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4.1.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aquisição dos equipamentos pretendidos, os eventuais interessados deverão comprovar que atuam em ramo de atividade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4.2.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 Para o fornecimento do equipamento, serão da responsabilidade da contratada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todos os materiais, insumos, equipamentos e o transporte (frete).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4.3.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O prazo máximo para fornecimento do equipamento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será de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05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(cinco) dias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contados a partir da realização da Solicitação de Fornecimento/ empenho.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4.4.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Os equipamentos deverão ser entregues em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perfeito estado de conservação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materiais utilizados ser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atendendo às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normas técnicas aplicáveis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4.5.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pagamento será efetuado em até </w:t>
      </w:r>
      <w:r>
        <w:rPr>
          <w:b/>
          <w:bCs/>
          <w:sz w:val="24"/>
          <w:szCs w:val="24"/>
        </w:rPr>
        <w:t>15 (quinze) dias</w:t>
      </w:r>
      <w:r>
        <w:rPr>
          <w:sz w:val="24"/>
          <w:szCs w:val="24"/>
        </w:rPr>
        <w:t xml:space="preserve"> após a entrega dos equipamentos,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</w:rPr>
        <w:t>4.</w:t>
      </w:r>
      <w:r>
        <w:rPr>
          <w:rFonts w:eastAsia="Calibri" w:cs="Times New Roman" w:ascii="Times New Roman" w:hAnsi="Times New Roman"/>
          <w:b/>
          <w:bCs/>
        </w:rPr>
        <w:t xml:space="preserve">6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</w:t>
      </w:r>
      <w:r>
        <w:rPr>
          <w:rFonts w:eastAsia="Calibri"/>
          <w:b/>
          <w:bCs/>
          <w:color w:val="000000"/>
          <w:sz w:val="24"/>
          <w:szCs w:val="24"/>
        </w:rPr>
        <w:t>6</w:t>
      </w:r>
      <w:r>
        <w:rPr>
          <w:rFonts w:eastAsia="Calibri"/>
          <w:b/>
          <w:bCs/>
          <w:color w:val="000000"/>
          <w:sz w:val="24"/>
          <w:szCs w:val="24"/>
        </w:rPr>
        <w:t>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</w:t>
      </w:r>
      <w:r>
        <w:rPr>
          <w:rFonts w:eastAsia="Calibri"/>
          <w:b/>
          <w:bCs/>
          <w:color w:val="000000"/>
          <w:sz w:val="24"/>
          <w:szCs w:val="24"/>
        </w:rPr>
        <w:t>6</w:t>
      </w:r>
      <w:r>
        <w:rPr>
          <w:rFonts w:eastAsia="Calibri"/>
          <w:b/>
          <w:bCs/>
          <w:color w:val="000000"/>
          <w:sz w:val="24"/>
          <w:szCs w:val="24"/>
        </w:rPr>
        <w:t>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color w:val="000000"/>
          <w:sz w:val="24"/>
          <w:szCs w:val="24"/>
        </w:rPr>
        <w:t>0</w:t>
      </w:r>
      <w:r>
        <w:rPr>
          <w:rFonts w:eastAsia="Calibri"/>
          <w:b/>
          <w:bCs/>
          <w:color w:val="000000"/>
          <w:sz w:val="24"/>
          <w:szCs w:val="24"/>
        </w:rPr>
        <w:t>2 (dois)</w:t>
      </w:r>
      <w:r>
        <w:rPr>
          <w:rFonts w:eastAsia="Calibri"/>
          <w:b/>
          <w:bCs/>
          <w:color w:val="000000"/>
          <w:sz w:val="24"/>
          <w:szCs w:val="24"/>
        </w:rPr>
        <w:t xml:space="preserve">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.3.</w:t>
      </w:r>
      <w:r>
        <w:rPr>
          <w:sz w:val="24"/>
          <w:szCs w:val="24"/>
        </w:rPr>
        <w:t xml:space="preserve">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</w:t>
      </w:r>
      <w:r>
        <w:rPr>
          <w:rFonts w:eastAsia="Calibri"/>
          <w:b/>
          <w:bCs/>
          <w:sz w:val="24"/>
          <w:szCs w:val="24"/>
        </w:rPr>
        <w:t>7</w:t>
      </w:r>
      <w:r>
        <w:rPr>
          <w:rFonts w:eastAsia="Calibri"/>
          <w:b/>
          <w:bCs/>
          <w:sz w:val="24"/>
          <w:szCs w:val="24"/>
        </w:rPr>
        <w:t>. Da vigência contratual e prazo de entrega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presente instrumento terá vigência até</w:t>
      </w:r>
      <w:r>
        <w:rPr>
          <w:b/>
          <w:bCs/>
          <w:sz w:val="24"/>
          <w:szCs w:val="24"/>
        </w:rPr>
        <w:t xml:space="preserve"> 31/12/2025.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dos equipamentos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Garantia de Execução</w:t>
      </w:r>
    </w:p>
    <w:p>
      <w:pPr>
        <w:pStyle w:val="Normal"/>
        <w:spacing w:lineRule="auto" w:line="276"/>
        <w:ind w:left="425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397" w:left="397" w:righ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</w:t>
      </w:r>
      <w:r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§ 1º 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Câmara Municipal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4.1</w:t>
      </w:r>
      <w:r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</w:rPr>
        <w:t>. Das responsabilidades do contratado</w:t>
      </w:r>
    </w:p>
    <w:p>
      <w:pPr>
        <w:pStyle w:val="Corpodetexto31"/>
        <w:spacing w:lineRule="auto" w:line="276" w:before="0"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Title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4.1</w:t>
      </w:r>
      <w:r>
        <w:rPr>
          <w:rFonts w:eastAsia="Calibri" w:cs="Times New Roman"/>
          <w:b/>
          <w:bCs/>
          <w:sz w:val="24"/>
          <w:szCs w:val="24"/>
        </w:rPr>
        <w:t>2</w:t>
      </w:r>
      <w:r>
        <w:rPr>
          <w:rFonts w:eastAsia="Calibri" w:cs="Times New Roman"/>
          <w:b/>
          <w:bCs/>
          <w:sz w:val="24"/>
          <w:szCs w:val="24"/>
        </w:rPr>
        <w:t>. Das infrações e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 w:before="0" w:after="0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 xml:space="preserve"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 xml:space="preserve">5.1.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>A empresa contratada dever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á os equipamentos nas dependências da Câmara Municipal de Três Passos/RS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no prazo de até 05 (cinco) dias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contados a partir da data de emissão do empenho/solicitação de fornecimento.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5.1.1.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Todas as despesas relacionadas à execução do objeto, incluindo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recarga, transporte, deslocamento de pessoal, fretes, insumos, etiquetas e demais custos necessários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, deverão estar incluídas no valor ofertado,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não sendo permitida cobrança adicional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.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5.2. Da entrega dos Equipamentos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A entrega deverá ocorrer nas dependências da Câmara Municipal,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situado na Rua Salgado Filho, nº 79, Centro, Três Passos/RS, conforme as especificações descritas neste Termo de Referência.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>5.3. Prazo para Entrega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O prazo máximo para a execução/entrega dos equipamentos  é de </w:t>
      </w: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05 (cinco)</w:t>
      </w:r>
      <w:r>
        <w:rPr>
          <w:rStyle w:val="Strong"/>
          <w:rFonts w:ascii="Times New Roman" w:hAnsi="Times New Roman"/>
          <w:b/>
          <w:bCs/>
          <w:sz w:val="24"/>
          <w:szCs w:val="24"/>
          <w:lang w:val="pt-BR" w:eastAsia="ar-SA" w:bidi="ar-SA"/>
        </w:rPr>
        <w:t xml:space="preserve"> dias corridos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, contados a partir da emissão da solicitação de fornecimento/ empenho.</w:t>
        <w:br/>
        <w:t xml:space="preserve">§1º Em caso de necessidade de substituição de componentes ou ajustes técnicos, o prazo poderá ser prorrogado mediante comunicação formal e prévia aprovação da fiscalização do contrato.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5.4. Condições de Qualidade e Conservação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Todos os equipamentos deverão ser entre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gues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em perfeito estado de conservação e serem de boa qualidade.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15 (quinze)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dos extintores devidamente recarregados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Dispensa de Licitação nº 33/2025, </w:t>
      </w:r>
      <w:r>
        <w:rPr>
          <w:rFonts w:ascii="Times New Roman" w:hAnsi="Times New Roman"/>
          <w:sz w:val="24"/>
          <w:szCs w:val="24"/>
        </w:rPr>
        <w:t xml:space="preserve">tipo </w:t>
      </w:r>
      <w:r>
        <w:rPr>
          <w:rFonts w:ascii="Times New Roman" w:hAnsi="Times New Roman"/>
          <w:b/>
          <w:bCs/>
          <w:sz w:val="24"/>
          <w:szCs w:val="24"/>
        </w:rPr>
        <w:t>Menor Valor Por Item</w:t>
      </w:r>
      <w:r>
        <w:rPr>
          <w:rFonts w:ascii="Times New Roman" w:hAnsi="Times New Roman"/>
          <w:sz w:val="24"/>
          <w:szCs w:val="24"/>
        </w:rPr>
        <w:t>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R$  2.957,32 (dois mil, novecentos e cinquenta e sete reais e vinte e dois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59"/>
        <w:gridCol w:w="788"/>
        <w:gridCol w:w="1234"/>
        <w:gridCol w:w="125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Unitário Max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 DE ACESSO WIRELESS DUAL BAND TECNOLOGIA WIFI 7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Geral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Equipamento de rede sem fio de alto desempenho, indicado para ambientes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corporativos, capaz de prover conectividade estável e de alta capacidade a múltiplos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dispositivos simultaneamente. O dispositivo deve suportar a mais recente tecnologia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WiFi 7 (IEEE 802.11be), garantindo maior largura de banda, menor latência e eficiência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aprimorada no uso do espectro.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Especificações Técnicas Mínimas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Padrões de Rede: IEEE 802.11a/b/g/n/ac/ax/be (WiFi 7), compatível com versões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anteriores.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Frequências de Operação: Dual Band (2,4 GHz e 5 GHz).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Taxa Máxima de Transmissão: mínimo de 3 Gbps (somatório entre as bandas).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Antenas: Internas, com tecnologia MIMO e OFDMA.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 de Conexões: mínimo de 200 clientes simultâneos por unidade.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Segurança: WPA3, 802.1X, suporte a VLANs e controle de acesso avançado.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Gerenciamento: compatível com controlador centralizado via software ou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hardware, com interface web e/ou aplicativo.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Alimentação: PoE (Power over Ethernet) compatível com IEEE 802.3af.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 de Rede: pelo menos 1 porta Ethernet de 1 Gbps.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Design: carcaça compacta para instalação em teto ou parede, com kit de fixação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incluso.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Indicadores LED: para status operacional.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Temperatura de Operação: 0 °C a 40 °C ou superior.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Certificações: CE, FCC, Anatel ou equivalentes.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Funcionalidades Adicionais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Roaming contínuo entre pontos de acesso.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Balanceamento automático de carga.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QoS para priorização de voz, vídeo e dados críticos.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Compatibilidade IPv4 e IPv6.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Segmentação de SSIDs para visitantes e redes internas.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Garantia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Garantia mínima de 12 meses contra defeitos de fabricação.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 de Energia (PoE)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equipamento deverá ser entregue acompanhado de sua respectiva fonte de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 PoE original do fabricante, devidamente homologada e compatível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o produto, para garantir a integridade, desempenho e segurança do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conjunto.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Não serão aceitas fontes genéricas ou de terceiros.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R$2.576,66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R$2.576,66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SWITCH GIGABIT 8 PORTAS</w:t>
            </w:r>
          </w:p>
          <w:p>
            <w:pPr>
              <w:pStyle w:val="Defaul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Finalidade: </w:t>
            </w:r>
            <w:r>
              <w:rPr>
                <w:rFonts w:ascii="Times New Roman" w:hAnsi="Times New Roman"/>
                <w:sz w:val="24"/>
                <w:szCs w:val="24"/>
              </w:rPr>
              <w:t>Equipamento destinado à interconexão de dispositivos de rede em ambiente de transmissão ao vivo (live streaming), garantindo alta velocidade e estabilidade na comunicação entre câmeras, codificadores de vídeo, sistemas de áudio, computadores de transmissão e unidade de controle de rede (Unify). O equipamento deverá permitir tráfego simultâneo de múltiplos dispositivos, assegurando baixa latência e priorização de pacotes multimídia.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Especificações mínimas requeridas: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Tipo: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Switch de rede Ethernet não gerenciável ou Easy Smart, padrão desktop ou para fixação em parede.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Modelo de referência: </w:t>
            </w:r>
            <w:r>
              <w:rPr>
                <w:rFonts w:ascii="Times New Roman" w:hAnsi="Times New Roman"/>
                <w:sz w:val="24"/>
                <w:szCs w:val="24"/>
              </w:rPr>
              <w:t>TP-Link TL-SG108 ou equivalente em desempenho e especificações.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Quantidade de portas: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(oito) portas RJ-45 10/100/1000 Mbps, com detecção automática de velocidade (auto-negociação) e Auto-MDI/MDIX.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Capacidade de comutação: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mínimo de 16 Gbps.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Taxa de encaminhamento: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mínimo de 11,9 Mpps.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Padrões compatíveis: </w:t>
            </w:r>
            <w:r>
              <w:rPr>
                <w:rFonts w:ascii="Times New Roman" w:hAnsi="Times New Roman"/>
                <w:sz w:val="24"/>
                <w:szCs w:val="24"/>
              </w:rPr>
              <w:t>IEEE 802.3, IEEE 802.3u, IEEE 802.3ab, IEEE 802.3x, IEEE 802.1p (QoS) e IEEE 802.3az (Energy Efficient Ethernet).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Recursos de priorização (QoS):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suporte à priorização de tráfego por porta ou por tipo de serviço (IEEE 802.1p/DSCP), assegurando qualidade na transmissão de áudio e vídeo em tempo real.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Suporte a IGMP Snooping: </w:t>
            </w:r>
            <w:r>
              <w:rPr>
                <w:rFonts w:ascii="Times New Roman" w:hAnsi="Times New Roman"/>
                <w:sz w:val="24"/>
                <w:szCs w:val="24"/>
              </w:rPr>
              <w:t>para gerenciamento eficiente de tráfego multicast, evitando saturação da rede durante transmissões simultâneas.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Largura de banda: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1000 Mbps full-duplex em todas as portas.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Tecnologia de economia de energia: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compatível com Green Ethernet, com detecção automática de portas inativas e ajuste dinâmico de consumo.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de gabinete: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metálico, compacto e sem ventoinha (fanless), adequado para operação silenciosa em ambientes de estúdio, escritório ou sala técnica.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Modo de operação: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Plug and Play, sem necessidade de configuração avançada.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Alimentação: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100–240 V AC ~ 50/60 Hz (com fonte de alimentação inclusa).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Temperatura de operação: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 °C a 40 °C; umidade relativa até 90% sem condensação.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Indicadores LED: estado das portas, link, atividade e alimentação.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u w:val="none"/>
              </w:rPr>
              <w:t>•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4"/>
                <w:szCs w:val="24"/>
                <w:u w:val="none"/>
              </w:rPr>
              <w:t>Garantia mínima: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u w:val="none"/>
              </w:rPr>
              <w:t xml:space="preserve"> 12 (doze) meses.</w:t>
            </w:r>
          </w:p>
          <w:p>
            <w:pPr>
              <w:pStyle w:val="Defaul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trike w:val="false"/>
                <w:dstrike w:val="false"/>
                <w:sz w:val="24"/>
                <w:szCs w:val="24"/>
                <w:u w:val="none"/>
              </w:rPr>
              <w:t>Observações de uso:</w:t>
            </w: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u w:val="none"/>
              </w:rPr>
              <w:t xml:space="preserve"> O equipamento deverá ser capaz de integrar múltiplos dispositivos de rede utilizados em transmissão ao vivo, garantindo comunicação estável com o sistema de wifi e demais componentes da infraestrutura de rede, com prioridade de tráfego para dados de vídeo e áudio, assegurando baixa latência, fluidez e confiabilidade durante toda a operação.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R$ 380,66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R$ 380,66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Max. Total R$  2.957,32 (dois mil, novecentos e cinquenta e sete reais e vinte e dois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1056 – Reaparelhamento da Câmara Municipal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4.4.90.52.00.00.00 – Equipamento e Material Permanente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 xml:space="preserve">rês Passos/RS, 10 </w:t>
      </w:r>
      <w:r>
        <w:rPr>
          <w:rFonts w:ascii="Times New Roman" w:hAnsi="Times New Roman"/>
          <w:color w:val="000000"/>
          <w:sz w:val="24"/>
          <w:szCs w:val="24"/>
        </w:rPr>
        <w:t xml:space="preserve"> de novembro de 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Application>LibreOffice/25.2.6.2$Windows_X86_64 LibreOffice_project/729c5bfe710f5eb71ed3bbde9e06a6065e9c6c5d</Application>
  <AppVersion>15.0000</AppVersion>
  <Pages>11</Pages>
  <Words>3993</Words>
  <Characters>22416</Characters>
  <CharactersWithSpaces>26284</CharactersWithSpaces>
  <Paragraphs>219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2024-10-02T14:20:46Z</cp:lastPrinted>
  <dcterms:modified xsi:type="dcterms:W3CDTF">2025-11-13T11:52:15Z</dcterms:modified>
  <cp:revision>112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