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ESTUDO TÉCNICO PR</w:t>
      </w:r>
      <w:r>
        <w:rPr>
          <w:b/>
          <w:bCs/>
          <w:sz w:val="22"/>
          <w:szCs w:val="22"/>
          <w:shd w:fill="auto" w:val="clear"/>
        </w:rPr>
        <w:t xml:space="preserve">ELIMINAR </w:t>
      </w:r>
      <w:r>
        <w:rPr>
          <w:b/>
          <w:bCs/>
          <w:color w:val="000000"/>
          <w:sz w:val="22"/>
          <w:szCs w:val="22"/>
          <w:shd w:fill="auto" w:val="clear"/>
        </w:rPr>
        <w:t xml:space="preserve">Nº </w:t>
      </w:r>
      <w:r>
        <w:rPr>
          <w:b/>
          <w:bCs/>
          <w:color w:val="000000"/>
          <w:sz w:val="22"/>
          <w:szCs w:val="22"/>
          <w:shd w:fill="auto" w:val="clear"/>
        </w:rPr>
        <w:t>59</w:t>
      </w:r>
      <w:r>
        <w:rPr>
          <w:b/>
          <w:bCs/>
          <w:color w:val="000000"/>
          <w:sz w:val="22"/>
          <w:szCs w:val="22"/>
          <w:shd w:fill="auto" w:val="clear"/>
        </w:rPr>
        <w:t>/20</w:t>
      </w:r>
      <w:r>
        <w:rPr>
          <w:b/>
          <w:bCs/>
          <w:sz w:val="22"/>
          <w:szCs w:val="22"/>
          <w:shd w:fill="auto" w:val="clear"/>
        </w:rPr>
        <w:t>25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color w:val="000000"/>
          <w:sz w:val="22"/>
          <w:szCs w:val="22"/>
          <w:highlight w:val="none"/>
          <w:shd w:fill="auto" w:val="clear"/>
        </w:rPr>
      </w:pPr>
      <w:r>
        <w:rPr>
          <w:b/>
          <w:bCs/>
          <w:color w:val="000000"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sz w:val="22"/>
          <w:szCs w:val="22"/>
          <w:highlight w:val="none"/>
          <w:shd w:fill="auto" w:val="clear"/>
        </w:rPr>
      </w:pPr>
      <w:r>
        <w:rPr>
          <w:b/>
          <w:bCs/>
          <w:color w:val="000000"/>
          <w:sz w:val="22"/>
          <w:szCs w:val="22"/>
          <w:shd w:fill="auto" w:val="clear"/>
        </w:rPr>
        <w:t xml:space="preserve">PROCESSO ADMINISTRATIVO </w:t>
      </w:r>
      <w:r>
        <w:rPr>
          <w:b/>
          <w:bCs/>
          <w:color w:val="000000"/>
          <w:sz w:val="22"/>
          <w:szCs w:val="22"/>
          <w:shd w:fill="auto" w:val="clear"/>
        </w:rPr>
        <w:t xml:space="preserve">N° </w:t>
      </w:r>
      <w:r>
        <w:rPr>
          <w:b/>
          <w:bCs/>
          <w:color w:val="000000"/>
          <w:sz w:val="22"/>
          <w:szCs w:val="22"/>
          <w:shd w:fill="auto" w:val="clear"/>
        </w:rPr>
        <w:t>59</w:t>
      </w:r>
      <w:r>
        <w:rPr>
          <w:b/>
          <w:bCs/>
          <w:color w:val="000000"/>
          <w:sz w:val="22"/>
          <w:szCs w:val="22"/>
          <w:shd w:fill="auto" w:val="clear"/>
        </w:rPr>
        <w:t>/2025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color w:val="000000"/>
          <w:sz w:val="22"/>
          <w:szCs w:val="22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MATERIAIS DE EXPEDIENTE DESTINADO AO ATENDIMENTO DAS DEMANDAS ADMINISTRATIVAS PARA A CÂMARA MUNICIPAL DE VEREADORES DE TRÊS PASSOS-RS.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DESCRIÇÃO DA NECESSIDADE:</w:t>
      </w:r>
    </w:p>
    <w:p>
      <w:pPr>
        <w:pStyle w:val="BodyText"/>
        <w:spacing w:lineRule="auto" w:line="36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 xml:space="preserve">A presente contratação tem por finalidade atender à demanda da Câmara Municipal de Três Passos-RS quanto ao fornecimento de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materiais de expediente de uso contínuo</w:t>
      </w: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>, indispensáveis ao desenvolvimento das atividades administrativas e legislativas da instituição.</w:t>
      </w:r>
    </w:p>
    <w:p>
      <w:pPr>
        <w:pStyle w:val="BodyText"/>
        <w:spacing w:lineRule="auto" w:line="360"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Os itens solicitados compreendem materiais básicos para o desempenho diário das tarefas, tais como registro de informações, organização de documentos, comunicação interna e externa, armazenamento de dados e apoio às rotinas de trabalho dos setores. A aquisição em questão visa garantir a regularidade e a eficiência dos serviços prestados pelo Poder Legislativo, assegurando condições adequadas para o exercício das funções institucionais.</w:t>
      </w:r>
    </w:p>
    <w:p>
      <w:pPr>
        <w:pStyle w:val="BodyText"/>
        <w:spacing w:lineRule="auto" w:line="360" w:before="0" w:after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lang w:eastAsia="en-US"/>
        </w:rPr>
        <w:t>ALINHAMENTO ENTRE A CONTRATAÇÃO E O PLANEJAMENTO: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>O objeto da contratação está no Plano Anual de Contratações – PAC.</w:t>
      </w:r>
    </w:p>
    <w:p>
      <w:pPr>
        <w:pStyle w:val="Normal"/>
        <w:spacing w:lineRule="auto" w:line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DOS REQUISITOS DA CONTRATAÇÃO: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val="pt-BR" w:eastAsia="ar-SA" w:bidi="ar-SA"/>
        </w:rPr>
        <w:t>3.1.</w:t>
      </w:r>
      <w:r>
        <w:rPr>
          <w:rFonts w:eastAsia="Calibri" w:cs="Times New Roman" w:ascii="Times New Roman" w:hAnsi="Times New Roman"/>
          <w:sz w:val="22"/>
          <w:szCs w:val="22"/>
          <w:lang w:val="pt-BR" w:eastAsia="ar-SA" w:bidi="ar-SA"/>
        </w:rPr>
        <w:t xml:space="preserve"> A empresa contratada deverá realizar a entrega dos materiais de expediente diretamente na sede da Câmara Municipal de Vereadores de Três Passos-RS, localizada na Rua Salgado Filho, n° 79, Centro, Três Passos-RS, estando incluídos no preço contratado todos os custos com transporte, manuseio, embalagem e demais encargos necessários para o fornecimento integral do objeto.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Todos os materiais deverão ser entregues em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perfeito estado de conservação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, correspondendo às especificações mínimas exigidas, devendo ser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novos, de primeira qualidade, livres de quaisquer defeitos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e com prazo de validade vigente quando aplicável.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3.3.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Caso seja verificada a entrega de itens em desacordo com as especificações, de qualidade inferior ou com vícios aparentes ou ocultos, a contratada ficará obrigada a proceder à substituição no prazo máximo de 10 dias, sem ônus adicional para a Administração.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3.4.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Os materiais deverão possuir marcas de referência reconhecidas no mercado ou equivalentes de qualidade comprovada, em conformidade com as especificações constantes do termo de referência.</w:t>
      </w:r>
    </w:p>
    <w:p>
      <w:pPr>
        <w:pStyle w:val="BodyText"/>
        <w:suppressAutoHyphens w:val="true"/>
        <w:spacing w:lineRule="auto" w:line="360" w:before="0" w:after="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3.5. 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eastAsia="ar-SA"/>
        </w:rPr>
        <w:t>A contratante se reserva o direito de recusar, total ou parcialmente, os itens entregues que não atendam aos requisitos técnicos, qualitativos ou dimensionais especificados, podendo, em caso de reiterado descumprimento das condições pactuadas, rescindir o contrato.</w:t>
      </w:r>
    </w:p>
    <w:p>
      <w:pPr>
        <w:pStyle w:val="BodyText"/>
        <w:suppressAutoHyphens w:val="true"/>
        <w:spacing w:lineRule="auto" w:line="360" w:before="0" w:after="0"/>
        <w:contextualSpacing/>
        <w:rPr>
          <w:rFonts w:ascii="Times New Roman" w:hAnsi="Times New Roman" w:eastAsia="Calibri" w:cs="Times New Roman"/>
          <w:color w:val="000000"/>
          <w:sz w:val="22"/>
          <w:szCs w:val="22"/>
          <w:lang w:eastAsia="ar-SA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ar-SA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4. </w:t>
      </w:r>
      <w:r>
        <w:rPr>
          <w:rStyle w:val="Fontepargpadro"/>
          <w:b/>
          <w:bCs/>
          <w:sz w:val="22"/>
          <w:szCs w:val="22"/>
          <w:lang w:eastAsia="en-US"/>
        </w:rPr>
        <w:t>ESTIMA DAS QUANTIDADES:</w:t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7"/>
        <w:gridCol w:w="4821"/>
        <w:gridCol w:w="1091"/>
        <w:gridCol w:w="1355"/>
        <w:gridCol w:w="1356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360" w:before="0" w:after="0"/>
              <w:ind w:hanging="0"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Unid.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Agenda Executiva para Escritório – Capa Dura (Ano 2026)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br/>
              <w:t xml:space="preserve">Modelo espiral, formato 129mm x 187mm, 176 folhas, papel offset 63g/m², visão diária (exceto sábados e domingos), bolsa de papel ou plástico. </w:t>
              <w:br/>
              <w:t>Cor sólida.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Referência: Tilibra, Forini, Jandaia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08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R$29,13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R$ 233,04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Agenda Executiva para Escritório – Capa Dura Emborrachada (Ano 2026)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br/>
              <w:t>Modelo brochura (Lombada costurada), formato 135mm x 192mm, 176 folhas, papel offset 56g/m², visão diária (exceto sábados e domingos).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Cor sólida.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Referência: Tilibra, Forini, Jandaia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R$ 30,74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R$ 92,22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Caneta Esferográfica – Cor Preta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br/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Estrutura plástica, material: latão com esfera de tungstênio, ponta média, corpo transparente com orifício lateral, caixa com 50 unidades.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Referência: Compactor, BIC, Faber Castell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 cx.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R$ 51,35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R$ 51,35</w:t>
            </w:r>
          </w:p>
        </w:tc>
      </w:tr>
      <w:tr>
        <w:trPr>
          <w:trHeight w:val="683" w:hRule="atLeast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04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Bloco Adesivo (Post-it)</w:t>
            </w:r>
            <w:r>
              <w:rPr>
                <w:sz w:val="22"/>
                <w:szCs w:val="22"/>
              </w:rPr>
              <w:br/>
              <w:t>Com 100 folhas, tamanho 76mm x 76mm, cores variadas.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3M Post-it, Tilibra, Acrimet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R$ 9,02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R$ 135,30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05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Marca Texto em Gel – Cor Amarela</w:t>
            </w:r>
            <w:r>
              <w:rPr>
                <w:sz w:val="22"/>
                <w:szCs w:val="22"/>
              </w:rPr>
              <w:br/>
              <w:t>Tipo caneta, tinta fluorescente, ponta retrátil de 3 mm, ideal para marcações precisas e duradouras.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Referência: Tris, Cis, Faber Castell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R$ 5,85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R$ 58,50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06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Marca Texto em Gel – Cor Rosa</w:t>
            </w:r>
            <w:r>
              <w:rPr>
                <w:sz w:val="22"/>
                <w:szCs w:val="22"/>
              </w:rPr>
              <w:br/>
              <w:t>Tipo caneta, tinta fluorescente, ponta retrátil de 3 mm, ideal para marcações precisas e duradouras.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Referência: Tris, Cis, Faber Castell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R$ 5,69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R$56,90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07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Marca Texto em Gel – Cor Verde</w:t>
            </w:r>
            <w:r>
              <w:rPr>
                <w:sz w:val="22"/>
                <w:szCs w:val="22"/>
              </w:rPr>
              <w:br/>
              <w:t>Tipo caneta, tinta fluorescente, ponta retrátil de 3 mm, ideal para marcações precisas e duradouras.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Referência: Tris, Cis, Faber Castell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R$5,52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R$ 55,20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08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Clips – Tamanho 6/0</w:t>
            </w:r>
            <w:r>
              <w:rPr>
                <w:sz w:val="22"/>
                <w:szCs w:val="22"/>
              </w:rPr>
              <w:br/>
              <w:t>Caixa com 50 unidades, galvanizado, ideal para uso diário em escritório.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Acc, Tilibra, Kaz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cx.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R$7,60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R$ 15,20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09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Envelope Collor – Tamanho 162mm x 229mm</w:t>
            </w:r>
            <w:r>
              <w:rPr>
                <w:sz w:val="22"/>
                <w:szCs w:val="22"/>
              </w:rPr>
              <w:br/>
              <w:t>Caixa com 200 unidades, cor marinho, gramatura 80g/m², ideal para correspondências formais.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cx.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R$ 196,00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R$ 196,00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10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Etiqueta Adesiva A4</w:t>
            </w:r>
            <w:r>
              <w:rPr>
                <w:sz w:val="22"/>
                <w:szCs w:val="22"/>
              </w:rPr>
              <w:br/>
              <w:t>Pacote com 100 unidades, formato A4, compatível com impressoras a laser e jato de tinta.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Pimaco, Tilibra, Maxprint ou similar com o mesmo padrão de qualidade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cx.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R$ 83,71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R$ 83,71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Fita Adesiva Transparente</w:t>
            </w:r>
            <w:r>
              <w:rPr>
                <w:sz w:val="22"/>
                <w:szCs w:val="22"/>
              </w:rPr>
              <w:br/>
              <w:t>Rolo com 18mm x 50m, ideal para uso geral em escritório.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3M Scotch, Adelbras, Tartan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R$ 5,58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R$ 55,80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12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Fita Crepe – Modelo Larga (50m)</w:t>
            </w:r>
            <w:r>
              <w:rPr>
                <w:sz w:val="22"/>
                <w:szCs w:val="22"/>
              </w:rPr>
              <w:br/>
              <w:t>Ideal para uso geral em escritório, fácil aplicação e remoção.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Adelbras, 3M, Tekbond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R$11,44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R$ 114,40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13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Grampeador Metálico</w:t>
            </w:r>
            <w:r>
              <w:rPr>
                <w:sz w:val="22"/>
                <w:szCs w:val="22"/>
              </w:rPr>
              <w:br/>
              <w:t>Capacidade de perfuração de até 30 folhas.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Ideal para uso diário em escritório.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Tris, Acc, Maped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R$ 37,64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R$ 301,12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14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Grampo para Grampeador – Tamanho 26/8</w:t>
            </w:r>
            <w:r>
              <w:rPr>
                <w:sz w:val="22"/>
                <w:szCs w:val="22"/>
              </w:rPr>
              <w:br/>
              <w:t>Cor: Cobreador, caixa com 5.000 unidades, compatível com grampeadores padrão.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Acc, Bacchi, Tris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cx.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R$ 18,82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R$ 94,10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15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40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Papel A4 – Folha Dura</w:t>
            </w:r>
            <w:r>
              <w:rPr>
                <w:sz w:val="22"/>
                <w:szCs w:val="22"/>
              </w:rPr>
              <w:br/>
            </w:r>
            <w:r>
              <w:rPr>
                <w:color w:val="auto"/>
                <w:sz w:val="22"/>
                <w:szCs w:val="22"/>
              </w:rPr>
              <w:t>Pacote com 50 folhas, gramatura 180g/m².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single"/>
              </w:rPr>
              <w:t>Características do Produto</w:t>
            </w:r>
          </w:p>
          <w:p>
            <w:pPr>
              <w:pStyle w:val="BodyText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O Papel Sulfite Branco A4 180g combina espessura premium com alta qualidade.</w:t>
            </w:r>
          </w:p>
          <w:p>
            <w:pPr>
              <w:pStyle w:val="BodyText"/>
              <w:widowControl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single"/>
              </w:rPr>
              <w:t>Especificações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Acabamento Profissional: Perfeito para convites, certificados, cartazes e materiais promocionais.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Alta Resistência: Criação de materiais promocionais como folders e panfletos.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Versatilidade: Excelente aplicação para artesanato e trabalhos manuais sofisticados.</w:t>
            </w:r>
          </w:p>
          <w:p>
            <w:pPr>
              <w:pStyle w:val="BodyText"/>
              <w:widowControl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Sustentabilidade: Produzido com matéria-prima de reflorestamento, respeitando o meio ambiente.</w:t>
            </w:r>
          </w:p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Chamequinho, Filipinho, Report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pct.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R$ 18,83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R$ 56,49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16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Pen Drive 128GB</w:t>
            </w:r>
            <w:r>
              <w:rPr>
                <w:sz w:val="22"/>
                <w:szCs w:val="22"/>
              </w:rPr>
              <w:br/>
              <w:t>Memória USB 3.2 Gen 1, alta velocidade de transferência, compatível com diversos dispositivos.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Sandisk, Kingston, Multilaser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>
              <w:rPr>
                <w:b w:val="false"/>
                <w:bCs w:val="false"/>
                <w:sz w:val="22"/>
                <w:szCs w:val="22"/>
              </w:rPr>
              <w:t>91,32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true"/>
              <w:widowControl/>
              <w:suppressAutoHyphens w:val="true"/>
              <w:overflowPunct w:val="false"/>
              <w:bidi w:val="0"/>
              <w:spacing w:lineRule="auto" w:line="360" w:before="0" w:after="0"/>
              <w:ind w:hanging="0" w:left="57" w:right="57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R$ 456,6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17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Perfurador de Papel – Metal</w:t>
            </w:r>
            <w:r>
              <w:rPr>
                <w:sz w:val="22"/>
                <w:szCs w:val="22"/>
              </w:rPr>
              <w:br/>
              <w:t>Capacidade de perfuração de até 40 folhas, ideal para uso diário em escritório.</w:t>
              <w:br/>
              <w:t>Referência: Tramontina, Maped, Acc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R$66,36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R$ 331,80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18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Porta Canetas – Tipo Aramado</w:t>
            </w:r>
            <w:r>
              <w:rPr>
                <w:sz w:val="22"/>
                <w:szCs w:val="22"/>
              </w:rPr>
              <w:br/>
              <w:t>Com 4 compartimentos, cor preta, ideal para organização de materiais de escritório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R$ 36,04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 144,16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19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Bloco Adesivo – Post-it</w:t>
            </w:r>
            <w:r>
              <w:rPr>
                <w:sz w:val="22"/>
                <w:szCs w:val="22"/>
              </w:rPr>
              <w:br/>
              <w:t>Pacote com 4 blocos (cores variadas), tamanho 38mm x 50mm, ideal para anotações rápidas.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3M Post-it, Tilibra, Acrimet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pct.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R$ 6,43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R$ 32,15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20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2"/>
                <w:szCs w:val="22"/>
              </w:rPr>
              <w:t>Lixeira Metal Aramada – 10 L – Modelo Telado para Escritório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Material / Acabamento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estrutura em aço com pintura eletrostática ou epóxi, resistente à corrosão; corpo em tela metálica aramada vazada.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Capacidade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aproximadamente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10 litros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Dimensões aproximadas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altura de cerca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27 cm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, diâmetro da abertura em torno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24,5 cm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Formato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cilíndrico com bordas superiores reforçadas para maior rigidez.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Cor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preta.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Uso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indicada para ambientes de escritório, salas administrativas, com suporte para lixo seco (papel, plásticos leves).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Acabamentos / detalhes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bordas dobradas ou reforçadas, sem arestas cortantes, para segurança no manuseio.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55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Conformidade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o exemplar entregue deverá corresponder à amostra aprovada em cor, dimensões 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R$ 34,16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R$ 170,80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Máximo Total R$ 2.734,84 ( dois mil, setecentos e trinta e quatro reais e oitenta e quatro centavos).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left="0" w:right="0"/>
        <w:jc w:val="both"/>
        <w:rPr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left="0" w:right="0"/>
        <w:jc w:val="both"/>
        <w:rPr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  <w:t>Observação: Dentro do valor contrato deverá estar incluído a entrega dos produtos no endereço da Câmara Municipal de Vereadores: Rua Salgado Filho n° 79, Centro, Três Passos-RS.</w:t>
      </w:r>
    </w:p>
    <w:p>
      <w:pPr>
        <w:pStyle w:val="Normal"/>
        <w:spacing w:lineRule="auto" w:line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5. </w:t>
      </w:r>
      <w:r>
        <w:rPr>
          <w:rStyle w:val="Fontepargpadro"/>
          <w:b/>
          <w:bCs/>
          <w:sz w:val="22"/>
          <w:szCs w:val="22"/>
          <w:lang w:eastAsia="en-US"/>
        </w:rPr>
        <w:t>ALTERNATIVAS DISPONÍVEIS NO MERCADO:</w:t>
      </w:r>
    </w:p>
    <w:p>
      <w:pPr>
        <w:pStyle w:val="BodyText"/>
        <w:spacing w:lineRule="auto" w:line="36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>Conforme pesquisa realizada junto a fornecedores e análise de práticas usuais, identificaram-se as seguintes alternativas para atender à necessidade administrativa da Câmara Municipal de Vereadores de Três Passos-RS: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I.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Realizar a aquisição dos materiais de expediente em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maior quantidade</w:t>
      </w:r>
      <w:r>
        <w:rPr>
          <w:rFonts w:cs="Times New Roman" w:ascii="Times New Roman" w:hAnsi="Times New Roman"/>
          <w:sz w:val="22"/>
          <w:szCs w:val="22"/>
          <w:lang w:eastAsia="en-US"/>
        </w:rPr>
        <w:t>, de forma a constituir um estoque disponível na sede da Câmara, garantindo o atendimento às demandas internas por um período mais extenso, reduzindo a frequência de novas contratações e otimizando recursos de logística e gestão.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II.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Efetuar a aquisição dos materiais de expediente em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quantidades fracionadas</w:t>
      </w:r>
      <w:r>
        <w:rPr>
          <w:rFonts w:cs="Times New Roman" w:ascii="Times New Roman" w:hAnsi="Times New Roman"/>
          <w:sz w:val="22"/>
          <w:szCs w:val="22"/>
          <w:lang w:eastAsia="en-US"/>
        </w:rPr>
        <w:t>, conforme a necessidade, permitindo maior flexibilidade de gestão de estoque, mas com a desvantagem de exigir contratações mais frequentes e gerar possível elevação de custos administrativos.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III.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Optar pela aquisição de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kits padronizados de materiais de expediente</w:t>
      </w:r>
      <w:r>
        <w:rPr>
          <w:rFonts w:cs="Times New Roman" w:ascii="Times New Roman" w:hAnsi="Times New Roman"/>
          <w:sz w:val="22"/>
          <w:szCs w:val="22"/>
          <w:lang w:eastAsia="en-US"/>
        </w:rPr>
        <w:t>, ofertados por alguns fornecedores, que podem atender de forma parcial às demandas da Câmara, mas que não asseguram a adequação completa às necessidades específicas de cada setor.</w:t>
      </w:r>
    </w:p>
    <w:p>
      <w:pPr>
        <w:pStyle w:val="BodyText"/>
        <w:spacing w:lineRule="auto" w:line="360" w:before="0" w:after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6. </w:t>
      </w:r>
      <w:r>
        <w:rPr>
          <w:rStyle w:val="Fontepargpadro"/>
          <w:b/>
          <w:bCs/>
          <w:sz w:val="22"/>
          <w:szCs w:val="22"/>
          <w:lang w:eastAsia="en-US"/>
        </w:rPr>
        <w:t>ESTIMATIVA DO VALOR DA CONTRATAÇÃO: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Estima-se que para a contratação desejada, o valor médio total da contratação será de </w:t>
      </w:r>
      <w:r>
        <w:rPr>
          <w:rStyle w:val="Fontepargpadro"/>
          <w:b/>
          <w:bCs/>
          <w:sz w:val="22"/>
          <w:szCs w:val="22"/>
          <w:lang w:eastAsia="en-US"/>
        </w:rPr>
        <w:t>R$ 2.734,84 ( dois mil, setecentos e trinta e quatro reais e oitenta e quatro centavos)</w:t>
      </w:r>
      <w:r>
        <w:rPr>
          <w:rStyle w:val="Fontepargpadro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Style w:val="Fontepargpadro"/>
          <w:b w:val="false"/>
          <w:bCs w:val="false"/>
          <w:color w:val="111111"/>
          <w:sz w:val="22"/>
          <w:szCs w:val="22"/>
          <w:lang w:eastAsia="en-US"/>
        </w:rPr>
        <w:t>conforme pesquisa de preços realizada no sistema Licitacon/RS e fornecedores locais</w:t>
      </w:r>
      <w:r>
        <w:rPr>
          <w:rStyle w:val="Fontepargpadro"/>
          <w:b/>
          <w:bCs/>
          <w:color w:val="111111"/>
          <w:sz w:val="22"/>
          <w:szCs w:val="22"/>
          <w:lang w:eastAsia="en-US"/>
        </w:rPr>
        <w:t>.</w:t>
      </w:r>
    </w:p>
    <w:p>
      <w:pPr>
        <w:pStyle w:val="Normal"/>
        <w:spacing w:lineRule="auto" w:line="360"/>
        <w:jc w:val="both"/>
        <w:rPr>
          <w:b/>
          <w:bCs/>
          <w:color w:val="111111"/>
          <w:sz w:val="22"/>
          <w:szCs w:val="22"/>
          <w:lang w:eastAsia="en-US"/>
        </w:rPr>
      </w:pPr>
      <w:r>
        <w:rPr>
          <w:b/>
          <w:bCs/>
          <w:color w:val="111111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7.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BodyText"/>
        <w:bidi w:val="0"/>
        <w:spacing w:lineRule="auto" w:line="36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 xml:space="preserve">A solução adotada consiste na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aquisição centralizada de materiais de expediente</w:t>
      </w: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>, em quantitativos planejados com base no consumo médio registrado em exercícios anteriores, de modo a atender integralmente às necessidades administrativas e legislativas da Câmara Municipal de Três Passos-RS durante todo o exercício de 2026.</w:t>
      </w:r>
    </w:p>
    <w:p>
      <w:pPr>
        <w:pStyle w:val="BodyText"/>
        <w:spacing w:lineRule="auto" w:line="360"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O fornecimento contemplará itens essenciais para a rotina de trabalho dos diversos setores, assegurando a regularidade das atividades e prevenindo riscos de desabastecimento. A estratégia de compra em lote único permite maior previsibilidade orçamentária, otimização de tempo e eficiência na gestão de estoques, garantindo que o Poder Legislativo disponha de insumos adequados e em conformidade com as especificações técnicas definidas.</w:t>
      </w:r>
    </w:p>
    <w:p>
      <w:pPr>
        <w:pStyle w:val="BodyText"/>
        <w:spacing w:lineRule="auto" w:line="360" w:before="0" w:after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8. </w:t>
      </w:r>
      <w:r>
        <w:rPr>
          <w:rStyle w:val="Fontepargpadro"/>
          <w:b/>
          <w:bCs/>
          <w:sz w:val="22"/>
          <w:szCs w:val="22"/>
          <w:lang w:eastAsia="en-US"/>
        </w:rPr>
        <w:t>JUSTIFICATIVA PARA O PARCELAMENTO OU NÃO DA CONTRATAÇÃO:</w:t>
      </w:r>
    </w:p>
    <w:p>
      <w:pPr>
        <w:pStyle w:val="BodyText"/>
        <w:bidi w:val="0"/>
        <w:spacing w:lineRule="auto" w:line="36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 xml:space="preserve">A presente contratação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poderá ser parcelada</w:t>
      </w: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>, uma vez que se trata de um conjunto de itens distintos, abrangendo diferentes tipos de materiais de expediente. O parcelamento se mostra adequado por possibilitar que empresas especializadas em determinados produtos participem do processo, ampliando o número de potenciais fornecedores e promovendo maior competitividade entre as propostas.</w:t>
      </w:r>
    </w:p>
    <w:p>
      <w:pPr>
        <w:pStyle w:val="BodyText"/>
        <w:spacing w:lineRule="auto" w:line="360" w:before="0" w:after="0"/>
        <w:rPr/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Essa estratégia contribui para o atendimento ao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princípio da isonomia e da seleção da proposta mais vantajosa</w:t>
      </w:r>
      <w:r>
        <w:rPr>
          <w:rFonts w:cs="Times New Roman" w:ascii="Times New Roman" w:hAnsi="Times New Roman"/>
          <w:sz w:val="22"/>
          <w:szCs w:val="22"/>
          <w:lang w:eastAsia="en-US"/>
        </w:rPr>
        <w:t>, permitindo que microempresas, empresas de pequeno porte e fornecedores locais também tenham condições de disputar determinados itens, ainda que não possuam todo o portfólio completo de materiais.</w:t>
      </w:r>
    </w:p>
    <w:p>
      <w:pPr>
        <w:pStyle w:val="BodyText"/>
        <w:spacing w:lineRule="auto" w:line="360"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Contudo, o parcelamento deverá observar a viabilidade técnica e a economicidade da contratação, de modo que a divisão do objeto não comprometa a eficiência da aquisição nem gere custos administrativos adicionais desproporcionais.</w:t>
      </w:r>
    </w:p>
    <w:p>
      <w:pPr>
        <w:pStyle w:val="BodyText"/>
        <w:spacing w:lineRule="auto" w:line="360" w:before="0" w:after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9. </w:t>
      </w:r>
      <w:r>
        <w:rPr>
          <w:rStyle w:val="Fontepargpadro"/>
          <w:b/>
          <w:bCs/>
          <w:sz w:val="22"/>
          <w:szCs w:val="22"/>
          <w:lang w:eastAsia="en-US"/>
        </w:rPr>
        <w:t>RESULTADOS PRETENDIDOS:</w:t>
      </w:r>
    </w:p>
    <w:p>
      <w:pPr>
        <w:pStyle w:val="BodyText"/>
        <w:spacing w:lineRule="auto" w:line="36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shd w:fill="auto" w:val="clear"/>
          <w:lang w:eastAsia="en-US"/>
        </w:rPr>
        <w:t xml:space="preserve">A presente contratação tem como finalidade garantir o </w:t>
      </w:r>
      <w:r>
        <w:rPr>
          <w:rStyle w:val="Strong"/>
          <w:rFonts w:cs="Times New Roman" w:ascii="Times New Roman" w:hAnsi="Times New Roman"/>
          <w:sz w:val="22"/>
          <w:szCs w:val="22"/>
          <w:shd w:fill="auto" w:val="clear"/>
          <w:lang w:eastAsia="en-US"/>
        </w:rPr>
        <w:t>atendimento pleno e contínuo da demanda de materiais de expediente</w:t>
      </w:r>
      <w:r>
        <w:rPr>
          <w:rStyle w:val="Fontepargpadro"/>
          <w:rFonts w:cs="Times New Roman" w:ascii="Times New Roman" w:hAnsi="Times New Roman"/>
          <w:sz w:val="22"/>
          <w:szCs w:val="22"/>
          <w:shd w:fill="auto" w:val="clear"/>
          <w:lang w:eastAsia="en-US"/>
        </w:rPr>
        <w:t xml:space="preserve"> da Câmara Municipal de Vereadores de Três Passos-RS, assegurando suporte adequado ao desenvolvimento das atividades legislativas e administrativas.</w:t>
      </w:r>
    </w:p>
    <w:p>
      <w:pPr>
        <w:pStyle w:val="BodyText"/>
        <w:spacing w:lineRule="auto" w:line="360"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Com a aquisição planejada, espera-se: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hanging="283" w:left="709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Regularidade no abastecimento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de insumos essenciais ao trabalho diário;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hanging="283" w:left="709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Eficiência na gestão administrativa</w:t>
      </w:r>
      <w:r>
        <w:rPr>
          <w:rFonts w:cs="Times New Roman" w:ascii="Times New Roman" w:hAnsi="Times New Roman"/>
          <w:sz w:val="22"/>
          <w:szCs w:val="22"/>
          <w:lang w:eastAsia="en-US"/>
        </w:rPr>
        <w:t>, evitando interrupções nos serviços decorrentes da falta de materiais básicos;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hanging="283" w:left="709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Padronização da qualidade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dos itens adquiridos, garantindo que os materiais atendam às especificações técnicas necessárias;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hanging="283" w:left="709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Maior previsibilidade orçamentária</w:t>
      </w:r>
      <w:r>
        <w:rPr>
          <w:rFonts w:cs="Times New Roman" w:ascii="Times New Roman" w:hAnsi="Times New Roman"/>
          <w:sz w:val="22"/>
          <w:szCs w:val="22"/>
          <w:lang w:eastAsia="en-US"/>
        </w:rPr>
        <w:t>, por meio da programação antecipada das compras para todo o exercício de 2026;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 w:before="0" w:after="0"/>
        <w:ind w:hanging="283" w:left="709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Aprimoramento da transparência e economicidade</w:t>
      </w:r>
      <w:r>
        <w:rPr>
          <w:rFonts w:cs="Times New Roman" w:ascii="Times New Roman" w:hAnsi="Times New Roman"/>
          <w:sz w:val="22"/>
          <w:szCs w:val="22"/>
          <w:lang w:eastAsia="en-US"/>
        </w:rPr>
        <w:t>, mediante processo de contratação que assegure competitividade e vantajosidade para a Administração Pública.</w:t>
      </w:r>
    </w:p>
    <w:p>
      <w:pPr>
        <w:pStyle w:val="BodyText"/>
        <w:spacing w:lineRule="auto" w:line="360"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Assim, a contratação contribuirá diretamente para a manutenção do adequado funcionamento do Poder Legislativo Municipal, apoiando sua missão institucional de legislar, fiscalizar e representar a sociedade.</w:t>
      </w:r>
    </w:p>
    <w:p>
      <w:pPr>
        <w:pStyle w:val="BodyText"/>
        <w:spacing w:lineRule="auto" w:line="360" w:before="0" w:after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10. </w:t>
      </w:r>
      <w:r>
        <w:rPr>
          <w:rStyle w:val="Fontepargpadro"/>
          <w:b/>
          <w:bCs/>
          <w:sz w:val="22"/>
          <w:szCs w:val="22"/>
          <w:lang w:eastAsia="en-US"/>
        </w:rPr>
        <w:t>PROVIDÊNCIAS PRÉVIAS AO CONTRATO:</w:t>
      </w:r>
    </w:p>
    <w:p>
      <w:pPr>
        <w:pStyle w:val="BodyText"/>
        <w:bidi w:val="0"/>
        <w:spacing w:lineRule="auto" w:line="36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>Para a efetivação da contratação pretendida, deverão ser observadas as seguintes providências prévias: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 w:before="0" w:after="0"/>
        <w:ind w:hanging="283" w:left="709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Emissão do pedido formal dos materiais</w:t>
      </w:r>
      <w:r>
        <w:rPr>
          <w:rFonts w:cs="Times New Roman" w:ascii="Times New Roman" w:hAnsi="Times New Roman"/>
          <w:sz w:val="22"/>
          <w:szCs w:val="22"/>
          <w:lang w:eastAsia="en-US"/>
        </w:rPr>
        <w:t>, com base nas especificações técnicas definidas no Termo de Referência;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 w:before="0" w:after="0"/>
        <w:ind w:hanging="283" w:left="709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Designação de servidor responsável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pelo acompanhamento do processo de contratação e pela fiscalização da execução contratual, em conformidade com o art. 7º, inciso III, da Lei nº 14.133/2021;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 w:before="0" w:after="0"/>
        <w:ind w:hanging="283" w:left="709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Orientação e conferência dos materiais entregues</w:t>
      </w:r>
      <w:r>
        <w:rPr>
          <w:rFonts w:cs="Times New Roman" w:ascii="Times New Roman" w:hAnsi="Times New Roman"/>
          <w:sz w:val="22"/>
          <w:szCs w:val="22"/>
          <w:lang w:eastAsia="en-US"/>
        </w:rPr>
        <w:t>, a ser realizada pelo servidor designado, verificando-se a compatibilidade dos itens recebidos com o objeto contratado, bem como a conformidade com as quantidades, qualidade e prazos estabelecidos;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360" w:before="0" w:after="0"/>
        <w:ind w:hanging="283" w:left="709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Registro da conferência e aceite dos materiais</w:t>
      </w:r>
      <w:r>
        <w:rPr>
          <w:rFonts w:cs="Times New Roman" w:ascii="Times New Roman" w:hAnsi="Times New Roman"/>
          <w:sz w:val="22"/>
          <w:szCs w:val="22"/>
          <w:lang w:eastAsia="en-US"/>
        </w:rPr>
        <w:t>, mediante documento próprio, garantindo a rastreabilidade e a formalização do recebimento.</w:t>
      </w:r>
    </w:p>
    <w:p>
      <w:pPr>
        <w:pStyle w:val="BodyText"/>
        <w:spacing w:lineRule="auto" w:line="360" w:before="0" w:after="0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Essas medidas visam assegurar a correta execução contratual, a adequada aplicação dos recursos públicos e a transparência do processo de aquisição.</w:t>
      </w:r>
    </w:p>
    <w:p>
      <w:pPr>
        <w:pStyle w:val="BodyText"/>
        <w:spacing w:lineRule="auto" w:line="360" w:before="0" w:after="0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11. </w:t>
      </w:r>
      <w:r>
        <w:rPr>
          <w:rStyle w:val="Fontepargpadro"/>
          <w:b/>
          <w:bCs/>
          <w:sz w:val="22"/>
          <w:szCs w:val="22"/>
          <w:lang w:eastAsia="en-US"/>
        </w:rPr>
        <w:t>CONTRATAÇÕES CORRELATAS E/OU INTERDEPENDENTES: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spacing w:lineRule="auto" w:line="36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12. </w:t>
      </w:r>
      <w:r>
        <w:rPr>
          <w:rStyle w:val="Fontepargpadro"/>
          <w:b/>
          <w:bCs/>
          <w:sz w:val="22"/>
          <w:szCs w:val="22"/>
          <w:lang w:eastAsia="en-US"/>
        </w:rPr>
        <w:t>POSSÍVEIS IMPACTOS AMBIENTAIS:</w:t>
      </w:r>
    </w:p>
    <w:p>
      <w:pPr>
        <w:pStyle w:val="BodyText"/>
        <w:spacing w:lineRule="auto" w:line="36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lang w:eastAsia="en-US"/>
        </w:rPr>
        <w:t>Considerando a natureza do objeto, consistente na aquisição de materiais de expediente de uso administrati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vo,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não se identificam impactos ambientais relevantes decorrentes desta contratação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spacing w:lineRule="auto" w:line="360" w:before="0" w:after="0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Os produtos a serem adquiridos são de uso rotineiro e não apresentam riscos significativos ao meio ambiente em sua utilização. Contudo, recomenda-se a adoção de práticas de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uso racional dos materiais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e de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descarte ambientalmente adequado das embalagens e resíduos gerados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 em consonância com as diretrizes de sustentabilidade previstas na Lei nº 14.133/2021.</w:t>
      </w:r>
    </w:p>
    <w:p>
      <w:pPr>
        <w:pStyle w:val="BodyText"/>
        <w:spacing w:lineRule="auto" w:line="360" w:before="0" w:after="0"/>
        <w:rPr>
          <w:rFonts w:ascii="Times New Roman" w:hAnsi="Times New Roman" w:cs="Times New Roman"/>
          <w:b w:val="false"/>
          <w:bCs w:val="false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13. </w:t>
      </w:r>
      <w:r>
        <w:rPr>
          <w:rStyle w:val="Fontepargpadro"/>
          <w:b/>
          <w:bCs/>
          <w:sz w:val="22"/>
          <w:szCs w:val="22"/>
          <w:lang w:eastAsia="en-US"/>
        </w:rPr>
        <w:t>DECLARAÇÃO DE VIABILIDADE: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z w:val="22"/>
          <w:szCs w:val="22"/>
          <w:shd w:fill="auto" w:val="clear"/>
          <w:lang w:val="pt-BR" w:eastAsia="pt-BR" w:bidi="ar-SA"/>
        </w:rPr>
        <w:t>sta Casa Legislativa, atende</w:t>
      </w:r>
      <w:r>
        <w:rPr>
          <w:sz w:val="22"/>
          <w:szCs w:val="22"/>
          <w:lang w:val="pt-BR" w:eastAsia="pt-BR" w:bidi="ar-SA"/>
        </w:rPr>
        <w:t>ndo aos padrões e os preços de mercado.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  <w:highlight w:val="none"/>
          <w:shd w:fill="auto" w:val="clear"/>
        </w:rPr>
      </w:pPr>
      <w:r>
        <w:rPr>
          <w:b w:val="false"/>
          <w:bCs w:val="false"/>
          <w:color w:val="111111"/>
          <w:sz w:val="22"/>
          <w:szCs w:val="22"/>
          <w:shd w:fill="auto" w:val="clear"/>
        </w:rPr>
        <w:t xml:space="preserve">Três Passos, </w:t>
      </w:r>
      <w:r>
        <w:rPr>
          <w:b w:val="false"/>
          <w:bCs w:val="false"/>
          <w:color w:val="111111"/>
          <w:sz w:val="22"/>
          <w:szCs w:val="22"/>
          <w:shd w:fill="auto" w:val="clear"/>
        </w:rPr>
        <w:t xml:space="preserve">25 </w:t>
      </w:r>
      <w:r>
        <w:rPr>
          <w:b w:val="false"/>
          <w:bCs w:val="false"/>
          <w:color w:val="111111"/>
          <w:sz w:val="22"/>
          <w:szCs w:val="22"/>
          <w:shd w:fill="auto" w:val="clear"/>
        </w:rPr>
        <w:t xml:space="preserve">de </w:t>
      </w:r>
      <w:r>
        <w:rPr>
          <w:b w:val="false"/>
          <w:bCs w:val="false"/>
          <w:color w:val="111111"/>
          <w:sz w:val="22"/>
          <w:szCs w:val="22"/>
          <w:shd w:fill="auto" w:val="clear"/>
        </w:rPr>
        <w:t>novem</w:t>
      </w:r>
      <w:r>
        <w:rPr>
          <w:b w:val="false"/>
          <w:bCs w:val="false"/>
          <w:color w:val="111111"/>
          <w:sz w:val="22"/>
          <w:szCs w:val="22"/>
          <w:shd w:fill="auto" w:val="clear"/>
        </w:rPr>
        <w:t>bro 2025.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Emanuelle Cavalcante Carvalho Petrazzini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Diretora Geral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VIABILIDADE DECLARADA PELA AUTORIDADE SUPERIOR: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DATA: __/__/__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FLAVIO HABITZREITER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Application>LibreOffice/25.2.6.2$Windows_X86_64 LibreOffice_project/729c5bfe710f5eb71ed3bbde9e06a6065e9c6c5d</Application>
  <AppVersion>15.0000</AppVersion>
  <Pages>8</Pages>
  <Words>801</Words>
  <Characters>4990</Characters>
  <CharactersWithSpaces>5741</CharactersWithSpaces>
  <Paragraphs>41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2024-12-19T13:00:13Z</cp:lastPrinted>
  <dcterms:modified xsi:type="dcterms:W3CDTF">2025-11-25T16:37:49Z</dcterms:modified>
  <cp:revision>104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