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ESTUDO TÉCNICO PRELIMINAR </w:t>
      </w:r>
      <w:r>
        <w:rPr>
          <w:b/>
          <w:bCs/>
          <w:color w:val="000000"/>
          <w:sz w:val="24"/>
          <w:szCs w:val="24"/>
        </w:rPr>
        <w:t>Nº60/2025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sz w:val="24"/>
          <w:szCs w:val="24"/>
        </w:rPr>
        <w:t>PROCESSO ADMINISTRATIVO N° 60/2025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w w:val="115"/>
          <w:kern w:val="0"/>
          <w:sz w:val="21"/>
          <w:szCs w:val="21"/>
          <w:u w:val="none"/>
          <w:shd w:fill="auto" w:val="clear"/>
          <w:lang w:val="pt-BR" w:eastAsia="en-US" w:bidi="ar-SA"/>
        </w:rPr>
        <w:t>CONTRATAÇÃO DE EMPRESA DO RAMO PERTINENTE PARA AQUISIÇÃO DE LIXEIRAS PARA O NOVO PLENÁRIO DA  CÂMARA DE VEREADORES DE TRÊS PASSOS-RS.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1.DESCRIÇÃO DA NECESSIDADE: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hanging="0" w:left="0" w:right="57"/>
        <w:jc w:val="both"/>
        <w:rPr>
          <w:rFonts w:ascii="Times New Roman" w:hAnsi="Times New Roman"/>
          <w:b w:val="false"/>
          <w:bCs w:val="false"/>
          <w:color w:val="000000"/>
          <w:sz w:val="21"/>
          <w:szCs w:val="21"/>
        </w:rPr>
      </w:pPr>
      <w:r>
        <w:rPr>
          <w:rFonts w:ascii="Times New Roman" w:hAnsi="Times New Roman"/>
          <w:b w:val="false"/>
          <w:bCs w:val="false"/>
          <w:color w:val="000000"/>
          <w:sz w:val="21"/>
          <w:szCs w:val="21"/>
        </w:rPr>
        <w:t>A aquisição de novas lixeiras para a Câmara Municipal de Três Passos é necessária para aprimorar a gestão de resíduos nas dependências do Poder Legislativo, garantindo melhores condições de higiene, organização e conformidade com as normas de saúde e segurança aplicáveis aos espaços públicos.</w:t>
      </w:r>
    </w:p>
    <w:p>
      <w:pPr>
        <w:pStyle w:val="BodyText"/>
        <w:widowControl w:val="false"/>
        <w:suppressAutoHyphens w:val="true"/>
        <w:spacing w:lineRule="auto" w:line="276" w:before="0" w:after="283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A demanda torna-se ainda mais relevante diante da fase final de construção e preparação do </w:t>
      </w:r>
      <w:r>
        <w:rPr>
          <w:rFonts w:ascii="Times New Roman" w:hAnsi="Times New Roman"/>
          <w:b w:val="false"/>
          <w:bCs w:val="false"/>
          <w:color w:val="000000"/>
          <w:sz w:val="21"/>
          <w:szCs w:val="21"/>
        </w:rPr>
        <w:t>N</w:t>
      </w:r>
      <w:r>
        <w:rPr>
          <w:rStyle w:val="Strong"/>
          <w:rFonts w:ascii="Times New Roman" w:hAnsi="Times New Roman"/>
          <w:b w:val="false"/>
          <w:bCs w:val="false"/>
          <w:color w:val="000000"/>
          <w:sz w:val="21"/>
          <w:szCs w:val="21"/>
        </w:rPr>
        <w:t>ovo Plenário da Câmara</w:t>
      </w:r>
      <w:r>
        <w:rPr>
          <w:rFonts w:ascii="Times New Roman" w:hAnsi="Times New Roman"/>
          <w:b w:val="false"/>
          <w:bCs w:val="false"/>
          <w:color w:val="000000"/>
          <w:sz w:val="21"/>
          <w:szCs w:val="21"/>
        </w:rPr>
        <w:t>,</w:t>
      </w:r>
      <w:r>
        <w:rPr>
          <w:rFonts w:ascii="Times New Roman" w:hAnsi="Times New Roman"/>
          <w:color w:val="000000"/>
          <w:sz w:val="21"/>
          <w:szCs w:val="21"/>
        </w:rPr>
        <w:t xml:space="preserve"> que em breve será colocado em funcionamento. Para que o novo espaço seja entregue com a infraestrutura adequada e plenamente funcional, é indispensável a instalação de lixeiras padronizadas e em quantidade suficiente, assegurando a correta destinação dos resíduos gerados por vereadores, servidores e cidadãos que utilizam o ambiente.</w:t>
      </w:r>
    </w:p>
    <w:p>
      <w:pPr>
        <w:pStyle w:val="BodyText"/>
        <w:widowControl w:val="false"/>
        <w:suppressAutoHyphens w:val="true"/>
        <w:spacing w:lineRule="auto" w:line="276" w:before="0" w:after="283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A ausência de recipientes adequados ou a utilização de produtos antigos e insuficientes pode comprometer a conservação do novo espaço, dificultar a limpeza e gerar acúmulo de resíduos em locais inadequados. A adoção de lixeiras modernas, identificadas e próprias para separação seletiva contribuirá para práticas sustentáveis, além de facilitar o trabalho das equipes de manutenção e limpeza.</w:t>
      </w:r>
    </w:p>
    <w:p>
      <w:pPr>
        <w:pStyle w:val="BodyText"/>
        <w:widowControl w:val="false"/>
        <w:suppressAutoHyphens w:val="true"/>
        <w:spacing w:lineRule="auto" w:line="276" w:before="0" w:after="283"/>
        <w:rPr>
          <w:rFonts w:ascii="Times New Roman" w:hAnsi="Times New Roman"/>
          <w:color w:val="000000"/>
          <w:sz w:val="21"/>
          <w:szCs w:val="21"/>
        </w:rPr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1"/>
          <w:szCs w:val="21"/>
          <w:lang w:eastAsia="en-US"/>
        </w:rPr>
        <w:t>Portanto, a aquisição das lixeiras é medida essencial para garantir que o novo plenário seja inaugurado de forma organizada, funcional e alinhada às boas práticas de gestão pública, promovendo um ambiente limpo, seguro e acolhedor para toda a comunidade.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2. ALINHAMENTO ENTRE A CONTRATAÇÃO E O PLANEJAMENTO: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O objeto da contratação está incluso no Plano Anual de Contratações – PAC, estando assim em conformidade com o Planejamento da Câmara Municipal de Três Passos.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3. DESCRIÇÃO DOS REQUISITOS DA CONTRATAÇÃO:</w:t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3.1.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Para a aquisição do equipamento pretendido, os eventuais interessados deverão comprovar que atuam em ramo de atividade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compatível com o objeto da contratação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bem como apresentar os documentos exigidos para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habilitação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nos termos 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art. 75, inciso II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da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Lei Federal nº 14.133/2021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3.2.</w:t>
      </w:r>
      <w:r>
        <w:rPr>
          <w:rFonts w:cs="Times New Roman" w:ascii="Times New Roman" w:hAnsi="Times New Roman"/>
          <w:b/>
          <w:bCs/>
          <w:sz w:val="24"/>
          <w:szCs w:val="24"/>
          <w:lang w:eastAsia="en-US"/>
        </w:rPr>
        <w:t xml:space="preserve"> Para o fornecimento das lixeiras, serão da responsabilidade da contratada </w:t>
      </w:r>
      <w:r>
        <w:rPr>
          <w:rStyle w:val="Strong"/>
          <w:rFonts w:cs="Times New Roman" w:ascii="Times New Roman" w:hAnsi="Times New Roman"/>
          <w:b/>
          <w:bCs/>
          <w:sz w:val="24"/>
          <w:szCs w:val="24"/>
          <w:lang w:eastAsia="en-US"/>
        </w:rPr>
        <w:t>todos os materiais, insumos, equipamentos e o transporte (frete).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3.3.</w:t>
      </w:r>
      <w:r>
        <w:rPr>
          <w:rFonts w:cs="Times New Roman" w:ascii="Times New Roman" w:hAnsi="Times New Roman"/>
          <w:b w:val="false"/>
          <w:bCs w:val="false"/>
          <w:color w:val="FF0000"/>
          <w:sz w:val="24"/>
          <w:szCs w:val="24"/>
          <w:lang w:eastAsia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O prazo máximo para fornecimento das lixeiras será de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  <w:t>05</w:t>
      </w:r>
      <w:r>
        <w:rPr>
          <w:rStyle w:val="Strong"/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  <w:t xml:space="preserve"> (cinco) dias corridos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  <w:t>,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contados a partir da realização da emissão do empenho/solicitação de fornecimento.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3.4.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As  lixeiras deverão ser entregues em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perfeito estado de conservação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e materiais utilizados ser de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boa qualidade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atendendo às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normas técnicas aplicáveis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3.5. Do Pagamento e dos Critérios de atualização Monetária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 pagamento será efetuado em até </w:t>
      </w:r>
      <w:r>
        <w:rPr>
          <w:b/>
          <w:bCs/>
          <w:sz w:val="24"/>
          <w:szCs w:val="24"/>
        </w:rPr>
        <w:t>15 (quinze) dias</w:t>
      </w:r>
      <w:r>
        <w:rPr>
          <w:sz w:val="24"/>
          <w:szCs w:val="24"/>
        </w:rPr>
        <w:t xml:space="preserve"> após a entrega do objeto, mediante apresentação do documento fiscal correspondente ao objeto contratado e conferência e atestado de recebimento do objeto pelo fiscal do contrato. 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left="567" w:right="0"/>
        <w:jc w:val="both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1º Considera-se ocorrido o recebimento da nota fiscal ou fatura no momento em que o órgão contratante atestar a execução do objeto do contrato.</w:t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left="567" w:right="0"/>
        <w:jc w:val="both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2º 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left="567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 xml:space="preserve">§ 3º </w:t>
      </w:r>
      <w:r>
        <w:rPr>
          <w:rFonts w:eastAsia="Calibri"/>
          <w:color w:val="000000"/>
          <w:sz w:val="24"/>
          <w:szCs w:val="24"/>
        </w:rPr>
        <w:t>Quando do pagamento, será efetuada a retenção tributária prevista na legislação aplicável.</w:t>
      </w:r>
    </w:p>
    <w:p>
      <w:pPr>
        <w:pStyle w:val="Normal"/>
        <w:suppressAutoHyphens w:val="false"/>
        <w:spacing w:lineRule="auto" w:line="276"/>
        <w:ind w:left="567" w:right="0"/>
        <w:jc w:val="both"/>
        <w:rPr>
          <w:rFonts w:ascii="Times New Roman" w:hAnsi="Times New Roman" w:eastAsia="Calibri"/>
          <w:color w:val="000000"/>
          <w:sz w:val="32"/>
          <w:szCs w:val="32"/>
        </w:rPr>
      </w:pPr>
      <w:r>
        <w:rPr>
          <w:rFonts w:eastAsia="Calibri"/>
          <w:color w:val="000000"/>
          <w:sz w:val="24"/>
          <w:szCs w:val="24"/>
        </w:rPr>
        <w:t xml:space="preserve">§ 4º Nos casos de eventuais atrasos de pagamento, desde que a Contratada não tenha concorrido, de alguma forma, para tanto, fica convencionado que os valores serão atualizados pelo INPC do período. 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3.6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Do termo de contrato ou instrumento equivalente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3.6.1.</w:t>
      </w:r>
      <w:r>
        <w:rPr>
          <w:rFonts w:eastAsia="Calibri"/>
          <w:color w:val="000000"/>
          <w:sz w:val="24"/>
          <w:szCs w:val="24"/>
        </w:rPr>
        <w:t xml:space="preserve"> Após a homologação da dispensa de licitação, em sendo realizada a contratação, será firmado Termo de Contrato ou emitido instrumento equivalente.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3.6.2.</w:t>
      </w:r>
      <w:r>
        <w:rPr>
          <w:rFonts w:eastAsia="Calibri"/>
          <w:color w:val="000000"/>
          <w:sz w:val="24"/>
          <w:szCs w:val="24"/>
        </w:rPr>
        <w:t xml:space="preserve">O adjudicatário terá o prazo de  </w:t>
      </w:r>
      <w:r>
        <w:rPr>
          <w:rFonts w:eastAsia="Calibri"/>
          <w:b/>
          <w:bCs/>
          <w:color w:val="000000"/>
          <w:sz w:val="24"/>
          <w:szCs w:val="24"/>
        </w:rPr>
        <w:t>(02) dois dias úteis,</w:t>
      </w:r>
      <w:r>
        <w:rPr>
          <w:rFonts w:eastAsia="Calibri"/>
          <w:color w:val="000000"/>
          <w:sz w:val="24"/>
          <w:szCs w:val="24"/>
        </w:rPr>
        <w:t xml:space="preserve">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3.6.3.</w:t>
      </w:r>
      <w:r>
        <w:rPr>
          <w:color w:val="000000"/>
          <w:sz w:val="24"/>
          <w:szCs w:val="24"/>
        </w:rPr>
        <w:t xml:space="preserve"> 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3.7.  Da vigência contratual e prazo de execução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 presente instrumento terá vigência até</w:t>
      </w:r>
      <w:r>
        <w:rPr>
          <w:b/>
          <w:bCs/>
          <w:sz w:val="24"/>
          <w:szCs w:val="24"/>
        </w:rPr>
        <w:t xml:space="preserve"> 31/12/2025.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sz w:val="24"/>
          <w:szCs w:val="24"/>
        </w:rPr>
        <w:t xml:space="preserve">O prazo para entrega das lixeiras é de </w:t>
      </w:r>
      <w:r>
        <w:rPr>
          <w:b/>
          <w:bCs/>
          <w:sz w:val="24"/>
          <w:szCs w:val="24"/>
        </w:rPr>
        <w:t xml:space="preserve">05 (cinco) dias corridos </w:t>
      </w:r>
      <w:r>
        <w:rPr>
          <w:sz w:val="24"/>
          <w:szCs w:val="24"/>
        </w:rPr>
        <w:t xml:space="preserve">a contar do recebimento da solicitação de fornecimento/empenho. 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§ 2º </w:t>
      </w:r>
      <w:r>
        <w:rPr>
          <w:sz w:val="24"/>
          <w:szCs w:val="24"/>
        </w:rPr>
        <w:t>Qualquer alteração no prazo suprarreferido dependerá de prévia aprovação, por escrito, do Contratante.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3.8. Reajuste, repactuação e reequilíbrio</w:t>
        <w:tab/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 contrato será reajustado, nos termos do art. 25 da Lei Federal 14.133/2021 </w:t>
      </w:r>
      <w:r>
        <w:rPr>
          <w:color w:val="000000"/>
          <w:sz w:val="24"/>
          <w:szCs w:val="24"/>
        </w:rPr>
        <w:t xml:space="preserve">e do Decreto Municipal 34/2023, observado o interregno mínimo de um ano, a contar da data-base do orçamento estimado, mediante solicitação do contratado.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§ 1º  Para fins de reajuste, levar-se à como data base a data do orçamento estimado, ou da planilha orçamentária constante do processo administrativo ou do Termo de Referência.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§ 2º Nos reajustes subsequentes ao primeiro, o interregno mínimo de um ano será contado a partir dos efeitos financeiros do último reajuste.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§ 3º  O valor do contrato será reajustado pelo INPC, obedecendo-se a metodologia de cálculo adequada para sua atualização.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§ 4º Quando, antes da data do reajustamento, já tiver ocorrido a revisão do contrato para a manutenção do seu equilíbrio econômico-financeiro, será a revisão considerada à ocasião do reajuste, para evitar acumulação injustificada.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§ 5º A revisão de contrato ou reequilíbrio econômico-financeiro decorre da imprevisão, consiste em um fato imprevisível ou previsível de consequências incalculáveis, anormal e extraordinário, que poderá ser concedido a qualquer tempo, e para sua concessão devem ser verificados os seguintes requisitos: 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a) evento futuro e incerto;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b) evento ocorrido após a apresentação da proposta; 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c) o evento não pode ocorrer por culpa da contratada;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d) possibilidade de revisão seja aventada pela contratada ou pela contratante; 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e) modificação consubstancial nas condições contratadas;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f) haja nexo causal entre a alteração dos custos com o evento ocorrido e a necessidade de recomposição da remuneração correspondente em função da majoração ou minoração dos encargos da contratada. </w:t>
      </w:r>
    </w:p>
    <w:p>
      <w:pPr>
        <w:pStyle w:val="Normal"/>
        <w:spacing w:lineRule="auto" w:line="276" w:before="0" w:after="120"/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g) demonstração da quebra de equilíbrio econômico-financeiro do contrato, por meio de apresentação de planilha de custos e documentação comprobatória correlata que demonstre que a contratação se tornou inviável nas condições inicialmente pactuadas.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6º O pedido de restabelecimento do equilíbrio econômico-financeiro deverá ser formulado durante a vigência deste instrumento e antes de eventual prorrogação.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§ 7º A contratada, para fazer jus ao equilíbrio econômico-financeiro, deverá apresentar em até 10(dez) dias após a assinatura deste instrumento planilha de custos elaborada pelo contador/técnico contábil da empresa e documentos comprobatórios dos preços apresentados. A falta da apresentação desta poderá ensejar o indeferimento do pedido pelo setor de contabilidade.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8º Solicitada reapactuação ou o reequilíbrio econômico-financeiro do contrato, fica o contratante obrigado a responder em até 30 (trinta) dias da data do requerimento.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§ 9º O não cumprimento do prazo constante no item § 8º desta cláusula não implica em deferimento do pedido por parte do contratante. </w:t>
      </w:r>
      <w:r>
        <w:rPr>
          <w:sz w:val="24"/>
          <w:szCs w:val="24"/>
        </w:rPr>
        <w:t>Todos os documentos necessários à apreciação do pedido deverão ser apresentados juntamente com o requerimento.</w:t>
        <w:tab/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3.9. Garantia de Execução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Para a presente contratação não haverá exigência de garantia de execução tendo em vista que o objeto somente será pago após a sua entrega. 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397" w:left="397" w:right="0"/>
        <w:jc w:val="both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3.10. Das Obrigações da contratante e da contratada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1º São obrigações da Contratante:</w:t>
      </w:r>
    </w:p>
    <w:p>
      <w:pPr>
        <w:pStyle w:val="Normal"/>
        <w:spacing w:lineRule="auto" w:line="276"/>
        <w:ind w:left="405" w:right="0"/>
        <w:jc w:val="both"/>
        <w:rPr>
          <w:rFonts w:ascii="Times New Roman" w:hAnsi="Times New Roman"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Receber o objeto no prazo e condições estabelecidas no Edital e seus anexos;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  <w:t>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  <w:t>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  <w:t>Acompanhar e fiscalizar o cumprimento das obrigações da Contratada, através de comissão/servidor especialmente designado;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Efetuar o pagamento à Contratada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no valor correspondente ao fornecimento do objeto, no prazo e forma estabelecidos no Edital e seus anexos, observada a ordem cronológica para cada fonte diferenciada de recursos, nos termos do art. 141 da Lei nº 14.133/2021;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Normal"/>
        <w:tabs>
          <w:tab w:val="clear" w:pos="709"/>
          <w:tab w:val="left" w:pos="2070" w:leader="none"/>
        </w:tabs>
        <w:spacing w:lineRule="auto" w:line="276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§ 2º São obrigações da contratada: 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I - </w:t>
      </w:r>
      <w:r>
        <w:rPr>
          <w:rFonts w:eastAsia="Calibri"/>
          <w:color w:val="000000"/>
          <w:sz w:val="24"/>
          <w:szCs w:val="24"/>
        </w:rPr>
        <w:t>Efetuar a entrega do objeto em perfeitas condições, conforme especificações, prazo e local constantes no Termo de Referência e seus anexos, acompanhado da respectiva nota fiscal, na qual constarão as indicações referentes a: marca, procedência e prazo de validade;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 -</w:t>
      </w:r>
      <w:r>
        <w:rPr>
          <w:rFonts w:eastAsia="Calibri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III -</w:t>
      </w:r>
      <w:r>
        <w:rPr>
          <w:rFonts w:eastAsia="Calibri"/>
          <w:sz w:val="24"/>
          <w:szCs w:val="24"/>
        </w:rPr>
        <w:t xml:space="preserve"> Responsabilizar-se pelos danos causados diretamente à Administração ou a terceiros em razão da execução do contrato;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IV -</w:t>
      </w:r>
      <w:r>
        <w:rPr>
          <w:rFonts w:eastAsia="Calibri"/>
          <w:sz w:val="24"/>
          <w:szCs w:val="24"/>
        </w:rPr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 -</w:t>
      </w:r>
      <w:r>
        <w:rPr>
          <w:rFonts w:eastAsia="Calibri"/>
          <w:sz w:val="24"/>
          <w:szCs w:val="24"/>
        </w:rPr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 -</w:t>
      </w:r>
      <w:r>
        <w:rPr>
          <w:rFonts w:eastAsia="Calibri"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 -</w:t>
      </w:r>
      <w:r>
        <w:rPr>
          <w:rFonts w:eastAsia="Calibri"/>
          <w:sz w:val="24"/>
          <w:szCs w:val="24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VIII -</w:t>
      </w:r>
      <w:r>
        <w:rPr>
          <w:rFonts w:eastAsia="Calibri"/>
          <w:sz w:val="24"/>
          <w:szCs w:val="24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IX -</w:t>
      </w:r>
      <w:r>
        <w:rPr>
          <w:rFonts w:eastAsia="Calibri"/>
          <w:sz w:val="24"/>
          <w:szCs w:val="24"/>
        </w:rPr>
        <w:t xml:space="preserve"> Cumprir com a reserva de cargos prevista em lei para pessoa com deficiência ou para reabilitado da Previdência Social e para aprendiz, além de atender às regras de acessibilidade previstas na legislação, conforme disposto no art. 93 da Lei nº 8.213/1991.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overflowPunct w:val="true"/>
        <w:bidi w:val="0"/>
        <w:spacing w:lineRule="auto" w:line="276"/>
        <w:ind w:hanging="737" w:left="737" w:right="0"/>
        <w:jc w:val="both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3.11. Das responsabilidades do contratado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A empresa CONTRATADA se compromete a executar o contrato de acordo com as disposições do Edital e em conformidade com as cláusulas constantes neste instrumento e a prestar a garantia do objeto pelo prazo de seis meses a contar da entrega. No caso da garantia ser acionada deverá ser prestada no prazo de cinco dias úteis a contar do recebimento da solicitação. O descumprimento da garantia acarretará aplicação das penalidades previstas no edital e contrato por descumprimento de cláusula do edital. As penalidades neste caso poderão ser aplicadas ainda que o prazo de vigência contratual esteja exaurido, fato que não poderá ser alegado pela contratada, pois de conhecimento prévio. </w:t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3.12. Das infrações e Sanções Administrativas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1º Das Infrações Administrativas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b) der causa à inexecução parcial do contrato que cause grave dano à Administração,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2º Do Processo Administrativo e das Sanções Administrativas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I- advertência, para a infração prevista na alínea “a”,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</w:t>
      </w:r>
      <w:r>
        <w:rPr>
          <w:sz w:val="24"/>
          <w:szCs w:val="24"/>
        </w:rPr>
        <w:t>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II-  multa, nas modalidades: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color w:val="000000"/>
          <w:sz w:val="24"/>
          <w:szCs w:val="24"/>
        </w:rPr>
        <w:t xml:space="preserve">Compensatória, de até 10% sobre o valor da parcela inadimplida, para quaisquer das infrações previstas nas </w:t>
      </w:r>
      <w:r>
        <w:rPr>
          <w:sz w:val="24"/>
          <w:szCs w:val="24"/>
        </w:rPr>
        <w:t xml:space="preserve">alíneas “a” até “m”. 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à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rFonts w:eastAsia="Arial"/>
          <w:sz w:val="24"/>
          <w:szCs w:val="24"/>
        </w:rPr>
        <w:t>A multa de mora poderá ser convertida em multa compensatória, com a aplicação cumulada de outras sanções previstas neste Edital.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IV. O contrato, sem prejuízo das multas e demais cominações legais previstas no instrumento, poderá ser rescindido unilateralmente, por ato formal da Administração, nos casos enumerados nos incisos do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numPr>
          <w:ilvl w:val="0"/>
          <w:numId w:val="0"/>
        </w:numPr>
        <w:spacing w:lineRule="auto" w:line="276"/>
        <w:ind w:hanging="0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 w:before="0" w:after="0"/>
        <w:rPr/>
      </w:pPr>
      <w:r>
        <w:rPr>
          <w:sz w:val="24"/>
          <w:szCs w:val="24"/>
        </w:rPr>
        <w:t xml:space="preserve"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 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Cs w:val="false"/>
          <w:sz w:val="24"/>
          <w:szCs w:val="24"/>
          <w:lang w:eastAsia="en-US"/>
        </w:rPr>
      </w:pPr>
      <w:r>
        <w:rPr>
          <w:b w:val="false"/>
          <w:bCs w:val="false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ESTIMA DAS QUANTIDADES: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4"/>
        <w:gridCol w:w="4145"/>
        <w:gridCol w:w="2100"/>
        <w:gridCol w:w="733"/>
        <w:gridCol w:w="957"/>
        <w:gridCol w:w="914"/>
      </w:tblGrid>
      <w:tr>
        <w:trPr/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4.1. MATERIAIS A SEREM CONTRATADOS</w:t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fill="auto" w:val="clear"/>
              </w:rPr>
              <w:t>Item</w:t>
            </w: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fill="auto" w:val="clear"/>
              </w:rPr>
              <w:t>Descrição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Imagem meramente</w:t>
            </w:r>
          </w:p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Ilustrativa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fill="auto" w:val="clear"/>
              </w:rPr>
              <w:t>Quant.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fill="auto" w:val="clear"/>
              </w:rPr>
              <w:t>Valor Unitário Max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fill="auto" w:val="clear"/>
              </w:rPr>
              <w:t>Valor Total Max</w:t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40"/>
              <w:rPr/>
            </w:pPr>
            <w:r>
              <w:rPr>
                <w:b/>
                <w:bCs/>
                <w:sz w:val="24"/>
                <w:szCs w:val="24"/>
                <w:shd w:fill="auto" w:val="clear"/>
              </w:rPr>
              <w:t>01</w:t>
            </w: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true"/>
              <w:widowControl/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Style w:val="Strong"/>
                <w:rFonts w:cs="Times New Roman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Lixeira com Pedal – 10 a 15 Litros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Descrição do Item: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Tipo: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Lixeira com abertura por pedal;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Capacidade: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10 a 15 litros;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Local de uso: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Banheiros da Câmara Municipal;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Abertura: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Sistema de pedal mecânico, permitindo abertura sem uso das mãos;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Tampa: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Fechamento automático ao liberar o pedal;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Material: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Plástico Polipropileno (PP), resistente e de fácil higienização;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Cor: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Preta ou cinza;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Acabamento: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Superfície lisa, resistente a umidade, adequada para ambientes sanitários;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Estrutura: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Deve possuir design que facilite a limpeza;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Base: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Deve ser estável e antiderrapante;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Finalidade: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Depósito de resíduos comuns em áreas sanitárias;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Condição de fornecimento: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Frete incluso até a Câmara Municipal de Três Passos;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2"/>
              <w:keepNext w:val="true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271780</wp:posOffset>
                  </wp:positionV>
                  <wp:extent cx="809625" cy="1038860"/>
                  <wp:effectExtent l="0" t="0" r="0" b="0"/>
                  <wp:wrapSquare wrapText="largest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38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R$47,87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R$526,57</w:t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true"/>
              <w:widowControl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0"/>
              <w:jc w:val="left"/>
              <w:outlineLvl w:val="1"/>
              <w:rPr>
                <w:rFonts w:ascii="Times New Roman" w:hAnsi="Times New Roman" w:cs="Times New Roman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Style w:val="Strong"/>
                <w:rFonts w:cs="Times New Roman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Lixeira com Tampa Basculante – Mínimo 50 Litros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Descrição do Item: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Tipo: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Lixeira com tampa basculante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Capacidade: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Mínimo de 50 litros;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Local de uso: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Banheiros da Câmara Municipal;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Material: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Plástico Polipropileno (PP) de alta resistência, adequado para ambientes úmidos;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Cor: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Preta ou cinza;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Tampa: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Sistema basculante com retorno automático, permitindo descarte simples e reduzindo exposição do conteúdo;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Acabamento: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Superfície lisa, facilitando higienização e prevenindo acúmulo de sujeira;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Estrutura: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Deve apresentar boa estabilidade para evitar tombamentos;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Finalidade: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Depósito de resíduos comuns em áreas sanitárias com maior volume de circulação;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Condição de fornecimento: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Frete incluso até a Câmara Municipal de Três Passos;</w:t>
            </w:r>
          </w:p>
          <w:p>
            <w:pPr>
              <w:pStyle w:val="Defaul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overflowPunct w:val="false"/>
              <w:bidi w:val="0"/>
              <w:spacing w:before="0" w:after="0"/>
              <w:ind w:hanging="0" w:left="-113" w:right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197485</wp:posOffset>
                  </wp:positionV>
                  <wp:extent cx="793750" cy="1403350"/>
                  <wp:effectExtent l="0" t="0" r="0" b="0"/>
                  <wp:wrapSquare wrapText="largest"/>
                  <wp:docPr id="2" name="Figura2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140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R$ 146,50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R$ 586,00</w:t>
            </w:r>
          </w:p>
        </w:tc>
      </w:tr>
      <w:tr>
        <w:trPr/>
        <w:tc>
          <w:tcPr>
            <w:tcW w:w="93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Max. Total R$  1.112,57 (mil, cento e doze reais e cinquenta e sete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rStyle w:val="Strong"/>
          <w:rFonts w:cs="Times New Roman"/>
          <w:color w:val="000000"/>
          <w:sz w:val="24"/>
          <w:szCs w:val="24"/>
          <w:lang w:eastAsia="en-US"/>
        </w:rPr>
        <w:t>4.2 Aceitação de Itens Similares</w:t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</w:rPr>
        <w:t>Para garantir maior competitividade e atender à demanda da Câmara Municipal de Três Passos-RS, caso a empresa não disponha do item exatamente conforme as especificações técnicas descritas, será permitida a apresentação de propostas para itens similares que possuam as mesmas características essenciais, qualidade, dimensões, funcionalidade e acabamento.</w:t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rFonts w:cs="Times New Roman"/>
          <w:b w:val="false"/>
          <w:bCs w:val="false"/>
          <w:color w:val="000000"/>
        </w:rPr>
        <w:t>A aceitação de itens similares estará condicionada à análise e aprovação prévia pelo responsável, a fim de assegurar que o material fornecido mantenha o padrão estético, funcional e de durabilidade requerido para o ambiente institucional.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color w:val="000000"/>
          <w:sz w:val="24"/>
          <w:szCs w:val="24"/>
          <w:lang w:eastAsia="en-US"/>
        </w:rPr>
        <w:t xml:space="preserve">5. 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ALTERNATIVAS DISPONÍVEIS NO MERCADO:</w:t>
      </w:r>
    </w:p>
    <w:p>
      <w:pPr>
        <w:pStyle w:val="BodyText"/>
        <w:spacing w:lineRule="auto" w:line="240"/>
        <w:jc w:val="both"/>
        <w:rPr/>
      </w:pPr>
      <w:r>
        <w:rPr>
          <w:rStyle w:val="Strong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Para atender à necessidade de aquisição de lixeiras nos banheiros sanitários do Novo Plenário da Câmara de Vereadores de Três Passos, foram analisadas as alternativas atualmente disponíveis no mercado, considerando materiais, modelos, funcionalidades e resistência para ambientes de uso contínuo.</w:t>
      </w:r>
    </w:p>
    <w:p>
      <w:pPr>
        <w:pStyle w:val="BodyText"/>
        <w:spacing w:lineRule="auto" w:line="240" w:before="0" w:after="283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color w:val="000000"/>
          <w:lang w:eastAsia="en-US"/>
        </w:rPr>
        <w:t>No mercado, observam-se, de forma geral, as seguintes alternativas: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40" w:before="0" w:after="283"/>
        <w:ind w:hanging="283" w:left="709"/>
        <w:rPr>
          <w:rFonts w:ascii="Times New Roman" w:hAnsi="Times New Roman" w:eastAsia="Calibri" w:cs="Calibri"/>
          <w:color w:val="000000"/>
          <w:lang w:eastAsia="en-US"/>
        </w:rPr>
      </w:pP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Lixeiras para banheiro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0" w:leader="none"/>
        </w:tabs>
        <w:spacing w:lineRule="auto" w:line="240" w:before="0" w:after="283"/>
        <w:ind w:hanging="283" w:left="1418"/>
        <w:rPr>
          <w:rFonts w:ascii="Times New Roman" w:hAnsi="Times New Roman" w:eastAsia="Calibri" w:cs="Calibri"/>
          <w:color w:val="000000"/>
          <w:lang w:eastAsia="en-US"/>
        </w:rPr>
      </w:pP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Plásticas(polipropileno)</w:t>
      </w:r>
      <w:r>
        <w:rPr>
          <w:rFonts w:eastAsia="Calibri" w:cs="Calibri" w:ascii="Times New Roman" w:hAnsi="Times New Roman"/>
          <w:color w:val="000000"/>
          <w:lang w:eastAsia="en-US"/>
        </w:rPr>
        <w:t>:</w:t>
        <w:br/>
        <w:t>Disponíveis em diversos modelos, com tampa basculante ou com pedal. Representam a opção mais comum para ambientes sanitários, por serem leves, resistentes à umidade, de fácil higienização e com bom custo-benefício.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0" w:leader="none"/>
        </w:tabs>
        <w:spacing w:lineRule="auto" w:line="240" w:before="0" w:after="283"/>
        <w:ind w:hanging="283" w:left="1418"/>
        <w:rPr>
          <w:rFonts w:ascii="Times New Roman" w:hAnsi="Times New Roman" w:eastAsia="Calibri" w:cs="Calibri"/>
          <w:color w:val="000000"/>
          <w:lang w:eastAsia="en-US"/>
        </w:rPr>
      </w:pP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Metálicas</w:t>
      </w:r>
      <w:r>
        <w:rPr>
          <w:rFonts w:eastAsia="Calibri" w:cs="Calibri" w:ascii="Times New Roman" w:hAnsi="Times New Roman"/>
          <w:color w:val="000000"/>
          <w:lang w:eastAsia="en-US"/>
        </w:rPr>
        <w:t>:</w:t>
        <w:br/>
        <w:t>Opções em aço inox ou aço carbono. Apresentam maior durabilidade, porém possuem custo superior e são mais suscetíveis a manchas e corrosão em ambientes úmidos.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0" w:leader="none"/>
        </w:tabs>
        <w:spacing w:lineRule="auto" w:line="240" w:before="0" w:after="283"/>
        <w:ind w:hanging="283" w:left="1418"/>
        <w:jc w:val="left"/>
        <w:rPr>
          <w:rFonts w:ascii="Times New Roman" w:hAnsi="Times New Roman" w:eastAsia="Calibri" w:cs="Calibri"/>
          <w:color w:val="000000"/>
          <w:lang w:eastAsia="en-US"/>
        </w:rPr>
      </w:pP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Lixeiras com sensor (automáticas)</w:t>
      </w:r>
      <w:r>
        <w:rPr>
          <w:rFonts w:eastAsia="Calibri" w:cs="Calibri" w:ascii="Times New Roman" w:hAnsi="Times New Roman"/>
          <w:color w:val="000000"/>
          <w:lang w:eastAsia="en-US"/>
        </w:rPr>
        <w:t>:</w:t>
        <w:br/>
        <w:t>Alternativa tecnológica, com abertura automática. Embora agreguem praticidade, apresentam custo elevado e exigem manutenção e reposição de baterias, não sendo a solução mais adequada para banheiros institucionais.</w:t>
      </w:r>
    </w:p>
    <w:p>
      <w:pPr>
        <w:pStyle w:val="BodyText"/>
        <w:spacing w:lineRule="auto" w:line="240" w:before="0" w:after="283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color w:val="000000"/>
          <w:lang w:eastAsia="en-US"/>
        </w:rPr>
        <w:t xml:space="preserve">Após análise das alternativas, verificou-se que as soluções em </w:t>
      </w: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polipropileno</w:t>
      </w:r>
      <w:r>
        <w:rPr>
          <w:rFonts w:eastAsia="Calibri" w:cs="Calibri" w:ascii="Times New Roman" w:hAnsi="Times New Roman"/>
          <w:color w:val="000000"/>
          <w:lang w:eastAsia="en-US"/>
        </w:rPr>
        <w:t xml:space="preserve"> são as mais adequadas para o ambiente dos banheiros sanitários do plenário, considerando </w:t>
      </w: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resistência à umidade</w:t>
      </w:r>
      <w:r>
        <w:rPr>
          <w:rFonts w:eastAsia="Calibri" w:cs="Calibri" w:ascii="Times New Roman" w:hAnsi="Times New Roman"/>
          <w:color w:val="000000"/>
          <w:lang w:eastAsia="en-US"/>
        </w:rPr>
        <w:t xml:space="preserve">, </w:t>
      </w: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facilidade de limpeza</w:t>
      </w:r>
      <w:r>
        <w:rPr>
          <w:rFonts w:eastAsia="Calibri" w:cs="Calibri" w:ascii="Times New Roman" w:hAnsi="Times New Roman"/>
          <w:color w:val="000000"/>
          <w:lang w:eastAsia="en-US"/>
        </w:rPr>
        <w:t xml:space="preserve">, </w:t>
      </w: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segurança</w:t>
      </w:r>
      <w:r>
        <w:rPr>
          <w:rFonts w:eastAsia="Calibri" w:cs="Calibri" w:ascii="Times New Roman" w:hAnsi="Times New Roman"/>
          <w:color w:val="000000"/>
          <w:lang w:eastAsia="en-US"/>
        </w:rPr>
        <w:t xml:space="preserve">, </w:t>
      </w: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durabilidade</w:t>
      </w:r>
      <w:r>
        <w:rPr>
          <w:rFonts w:eastAsia="Calibri" w:cs="Calibri" w:ascii="Times New Roman" w:hAnsi="Times New Roman"/>
          <w:color w:val="000000"/>
          <w:lang w:eastAsia="en-US"/>
        </w:rPr>
        <w:t xml:space="preserve">, </w:t>
      </w: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manutenção simplificada</w:t>
      </w:r>
      <w:r>
        <w:rPr>
          <w:rFonts w:eastAsia="Calibri" w:cs="Calibri" w:ascii="Times New Roman" w:hAnsi="Times New Roman"/>
          <w:color w:val="000000"/>
          <w:lang w:eastAsia="en-US"/>
        </w:rPr>
        <w:t xml:space="preserve"> e </w:t>
      </w: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custo acessível</w:t>
      </w:r>
      <w:r>
        <w:rPr>
          <w:rFonts w:eastAsia="Calibri" w:cs="Calibri" w:ascii="Times New Roman" w:hAnsi="Times New Roman"/>
          <w:color w:val="000000"/>
          <w:lang w:eastAsia="en-US"/>
        </w:rPr>
        <w:t>, além da ampla disponibilidade desses produtos no mercado local e regional.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6. 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ESTIMATIVA DO VALOR DA CONTRATAÇÃO: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 xml:space="preserve">Estima-se que, para a contratação pretendida, o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en-US"/>
        </w:rPr>
        <w:t>valor total máximo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 xml:space="preserve"> será de </w:t>
      </w:r>
      <w:r>
        <w:rPr>
          <w:rStyle w:val="Strong"/>
          <w:rFonts w:eastAsia="Calibri" w:cs="Calibri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eastAsia="en-US"/>
        </w:rPr>
        <w:t>R$  1.112,57 (mil, cento e doze reais e cinquenta e sete centavos).</w:t>
      </w:r>
    </w:p>
    <w:p>
      <w:pPr>
        <w:pStyle w:val="BodyText"/>
        <w:spacing w:lineRule="auto" w:line="276"/>
        <w:jc w:val="both"/>
        <w:rPr>
          <w:rFonts w:ascii="Times New Roman" w:hAnsi="Times New Roman" w:eastAsia="Calibri" w:cs="Calibri"/>
          <w:b/>
          <w:bCs/>
          <w:color w:val="000000"/>
          <w:sz w:val="24"/>
          <w:szCs w:val="24"/>
          <w:u w:val="none"/>
          <w:shd w:fill="auto" w:val="clear"/>
          <w:lang w:eastAsia="en-US"/>
        </w:rPr>
      </w:pPr>
      <w:r>
        <w:rPr>
          <w:rFonts w:eastAsia="Calibri" w:cs="Calibri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eastAsia="en-US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A elaboração da estimativa observou os critérios estabelecidos na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Resolução de Mesa nº 7, de 12 de janeiro de 2024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, tendo como base as seguintes fontes: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Sistema Licitacon-RS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– pesquisa realizada conforme o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art. 1º, inciso I, da Resolução nº 07/2024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, considerando contratações recentes e semelhantes para subsidiar a composição do preço estimado;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ind w:hanging="0"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A metodologia aplicada consistiu na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média aritmética simples das propostas válidas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obtidas nas duas fontes, em conformidade com o disposto no § 3º do art. 1º da Resolução de Mesa nº 7/2024.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color w:val="000000"/>
          <w:sz w:val="24"/>
          <w:szCs w:val="24"/>
          <w:lang w:eastAsia="en-US"/>
        </w:rPr>
        <w:t xml:space="preserve">7. 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DESCRIÇÃO DA SOLUÇÃO COMO UM TODO: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A solução proposta consiste na aquisição de lixeiras em polipropileno destinadas aos banheiros sanitários do Novo Plenário da Câmara de Vereadores de Três Passos, visando garantir condições adequadas de higiene, organização e funcionalidade aos usuários do ambiente.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 xml:space="preserve">O objeto contempla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dois tipos de lixeiras</w:t>
      </w:r>
      <w:r>
        <w:rPr>
          <w:rFonts w:cs="Times New Roman" w:ascii="Times New Roman" w:hAnsi="Times New Roman"/>
          <w:color w:val="000000"/>
          <w:lang w:eastAsia="en-US"/>
        </w:rPr>
        <w:t>, a serem instaladas conforme a finalidade e o fluxo de uso: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rPr>
          <w:rFonts w:ascii="Times New Roman" w:hAnsi="Times New Roman" w:cs="Times New Roman"/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Lixeiras menores para os vasos sanitários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 xml:space="preserve">Confeccionadas em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polipropileno</w:t>
      </w:r>
      <w:r>
        <w:rPr>
          <w:rFonts w:cs="Times New Roman" w:ascii="Times New Roman" w:hAnsi="Times New Roman"/>
          <w:color w:val="000000"/>
          <w:lang w:eastAsia="en-US"/>
        </w:rPr>
        <w:t>, material resistente à umidade e de fácil higienização.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Capacidade reduzida, adequada ao descarte de resíduos individuais nos boxes sanitários.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Modelos com tampa (preferencialmente basculante ou articulada) para evitar odores e manter a higiene do ambiente.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Estrutura leve, resistente e de simples manutenção.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rPr>
          <w:rFonts w:ascii="Times New Roman" w:hAnsi="Times New Roman" w:cs="Times New Roman"/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Lixeiras maiores para descarte de papel-toalha (instaladas próximas à pia)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 xml:space="preserve">Fabricadas em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polipropileno</w:t>
      </w:r>
      <w:r>
        <w:rPr>
          <w:rFonts w:cs="Times New Roman" w:ascii="Times New Roman" w:hAnsi="Times New Roman"/>
          <w:color w:val="000000"/>
          <w:lang w:eastAsia="en-US"/>
        </w:rPr>
        <w:t>, garantindo resistência, durabilidade e fácil limpeza mesmo em ambientes úmidos.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Capacidade superior (mínimo 50 litros), apropriada ao volume de resíduos gerado no uso coletivo de papel-toalha.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Modelo sem tampa ou com tampa basculante, conforme viabilidade, de modo a facilitar o descarte frequente e evitar acúmulo.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Design funcional que favoreça a reposição do saco coletor e a manutenção cotidiana.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 xml:space="preserve">A adoção das lixeiras em polipropileno deve-se à sua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durabilidade</w:t>
      </w:r>
      <w:r>
        <w:rPr>
          <w:rFonts w:cs="Times New Roman" w:ascii="Times New Roman" w:hAnsi="Times New Roman"/>
          <w:color w:val="000000"/>
          <w:lang w:eastAsia="en-US"/>
        </w:rPr>
        <w:t xml:space="preserve">,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facilidade de higienização</w:t>
      </w:r>
      <w:r>
        <w:rPr>
          <w:rFonts w:cs="Times New Roman" w:ascii="Times New Roman" w:hAnsi="Times New Roman"/>
          <w:color w:val="000000"/>
          <w:lang w:eastAsia="en-US"/>
        </w:rPr>
        <w:t xml:space="preserve">,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resistência à umidade</w:t>
      </w:r>
      <w:r>
        <w:rPr>
          <w:rFonts w:cs="Times New Roman" w:ascii="Times New Roman" w:hAnsi="Times New Roman"/>
          <w:color w:val="000000"/>
          <w:lang w:eastAsia="en-US"/>
        </w:rPr>
        <w:t xml:space="preserve">,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leveza</w:t>
      </w:r>
      <w:r>
        <w:rPr>
          <w:rFonts w:cs="Times New Roman" w:ascii="Times New Roman" w:hAnsi="Times New Roman"/>
          <w:color w:val="000000"/>
          <w:lang w:eastAsia="en-US"/>
        </w:rPr>
        <w:t xml:space="preserve"> e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bom custo-benefício</w:t>
      </w:r>
      <w:r>
        <w:rPr>
          <w:rFonts w:cs="Times New Roman" w:ascii="Times New Roman" w:hAnsi="Times New Roman"/>
          <w:color w:val="000000"/>
          <w:lang w:eastAsia="en-US"/>
        </w:rPr>
        <w:t>, além da ampla disponibilidade no mercado. A implementação desses equipamentos atende às necessidades do novo plenário, garantindo condições adequadas de higiene e organização nos banheiros sanitários, bem como padronização visual e operacional do ambiente.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 </w:t>
      </w:r>
      <w:r>
        <w:rPr>
          <w:rStyle w:val="Fontepargpadro"/>
          <w:b/>
          <w:bCs/>
          <w:sz w:val="24"/>
          <w:szCs w:val="24"/>
          <w:lang w:eastAsia="en-US"/>
        </w:rPr>
        <w:t>JUSTIFICATIVA PARA O PARCELAMENTO OU NÃO DA CONTRATAÇÃO:</w:t>
      </w:r>
    </w:p>
    <w:p>
      <w:pPr>
        <w:pStyle w:val="BodyText"/>
        <w:widowControl w:val="false"/>
        <w:snapToGrid w:val="false"/>
        <w:spacing w:lineRule="auto" w:line="24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A contratação será </w:t>
      </w: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parcelada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, considerando que o objeto envolve a aquisição de lixeiras de tamanhos distintos, cujas características e finalidades de uso diferem entre si. O parcelamento permite maior competitividade, amplia a participação de fornecedores e possibilita seleção de propostas mais vantajosas para cada tipo de item, em conformidade com os princípios da economicidade e da eficiência.</w:t>
      </w:r>
    </w:p>
    <w:p>
      <w:pPr>
        <w:pStyle w:val="BodyText"/>
        <w:widowControl w:val="false"/>
        <w:snapToGrid w:val="false"/>
        <w:spacing w:lineRule="auto" w:line="240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Apesar de ambos os produtos integrarem o conjunto de lixeiras a serem utilizados nos banheiros do novo plenário da Câmara de Vereadores de Três Passos, suas especificações técnicas — especialmente quanto à capacidade, forma de abertura (pedal ou tampa basculante) e dimensões — justificam o tratamento separado, uma vez que atendem a necessidades distintas dentro do mesmo ambiente.</w:t>
      </w:r>
    </w:p>
    <w:p>
      <w:pPr>
        <w:pStyle w:val="BodyText"/>
        <w:widowControl w:val="false"/>
        <w:snapToGrid w:val="false"/>
        <w:spacing w:lineRule="auto" w:line="240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O parcelamento não compromete a uniformidade visual e funcional do local, pois as especificações técnicas mínimas (cor, material, características estéticas e padrões de acabamento) permanecerão claramente definidas no Termo de Referência, assegurando a harmonização do conjunto mesmo quando adquiridos de fornecedores diferentes.</w:t>
      </w:r>
    </w:p>
    <w:p>
      <w:pPr>
        <w:pStyle w:val="BodyText"/>
        <w:widowControl w:val="false"/>
        <w:snapToGrid w:val="false"/>
        <w:spacing w:lineRule="auto" w:line="240" w:before="0" w:after="283"/>
        <w:rPr/>
      </w:pPr>
      <w:r>
        <w:rPr>
          <w:rFonts w:cs="Times New Roman" w:ascii="Times New Roman" w:hAnsi="Times New Roman"/>
          <w:color w:val="000000"/>
          <w:lang w:eastAsia="en-US"/>
        </w:rPr>
        <w:t>Adotar a divisão do objeto, portanto, contribui para ampliar a competitividade, evitar direcionamento, promover maior economicidade e assegurar a seleção da proposta mais vantajosa para cada item, em conformidade com as boas práticas da Administração Pública.</w:t>
      </w:r>
    </w:p>
    <w:p>
      <w:pPr>
        <w:pStyle w:val="Normal"/>
        <w:widowControl w:val="false"/>
        <w:snapToGrid w:val="false"/>
        <w:spacing w:lineRule="auto" w:line="240"/>
        <w:jc w:val="both"/>
        <w:rPr>
          <w:rStyle w:val="Fontepargpadro"/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9. </w:t>
      </w:r>
      <w:r>
        <w:rPr>
          <w:rStyle w:val="Fontepargpadro"/>
          <w:b/>
          <w:bCs/>
          <w:sz w:val="24"/>
          <w:szCs w:val="24"/>
          <w:lang w:eastAsia="en-US"/>
        </w:rPr>
        <w:t>RESULTADOS PRETENDIDOS: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Com a presente contratação, pretende-se alcançar a adequada estruturação dos banheiros sanitários do novo plenário da Câmara de Vereadores de Três Passos, garantindo condições apropriadas de higiene, organização e funcionalidade aos usuários. Os principais resultados esperados são: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jc w:val="left"/>
        <w:rPr>
          <w:rFonts w:ascii="Times New Roman" w:hAnsi="Times New Roman" w:cs="Times New Roman"/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Melhoria das condições de higiene e limpeza:</w:t>
      </w:r>
      <w:r>
        <w:rPr>
          <w:rFonts w:cs="Times New Roman" w:ascii="Times New Roman" w:hAnsi="Times New Roman"/>
          <w:color w:val="000000"/>
          <w:lang w:eastAsia="en-US"/>
        </w:rPr>
        <w:br/>
        <w:t>As lixeiras de tamanhos distintos permitirão o correto descarte de resíduos nos boxes sanitários e do papel-toalha na área da pia, contribuindo para a manutenção contínua da limpeza dos ambientes.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jc w:val="left"/>
        <w:rPr>
          <w:rFonts w:ascii="Times New Roman" w:hAnsi="Times New Roman" w:cs="Times New Roman"/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Padronização estética e funcional dos equipamentos:</w:t>
      </w:r>
      <w:r>
        <w:rPr>
          <w:rFonts w:cs="Times New Roman" w:ascii="Times New Roman" w:hAnsi="Times New Roman"/>
          <w:color w:val="000000"/>
          <w:lang w:eastAsia="en-US"/>
        </w:rPr>
        <w:br/>
        <w:t xml:space="preserve">A aquisição conjunta de lixeiras com o mesmo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design, cor e material (polipropileno)</w:t>
      </w:r>
      <w:r>
        <w:rPr>
          <w:rFonts w:cs="Times New Roman" w:ascii="Times New Roman" w:hAnsi="Times New Roman"/>
          <w:color w:val="000000"/>
          <w:lang w:eastAsia="en-US"/>
        </w:rPr>
        <w:t xml:space="preserve"> assegurará uniformidade visual, fortalecendo a identidade institucional e proporcionando um ambiente mais organizado e harmônico.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jc w:val="left"/>
        <w:rPr>
          <w:rFonts w:ascii="Times New Roman" w:hAnsi="Times New Roman" w:cs="Times New Roman"/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Maior eficiência na gestão e manutenção dos banheiros:</w:t>
      </w:r>
      <w:r>
        <w:rPr>
          <w:rFonts w:cs="Times New Roman" w:ascii="Times New Roman" w:hAnsi="Times New Roman"/>
          <w:color w:val="000000"/>
          <w:lang w:eastAsia="en-US"/>
        </w:rPr>
        <w:br/>
        <w:t>A utilização de lixeiras duráveis, resistentes à umidade e de fácil higienização facilitará o trabalho das equipes de limpeza, reduzindo o tempo e os custos de manutenção.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jc w:val="left"/>
        <w:rPr>
          <w:rFonts w:ascii="Times New Roman" w:hAnsi="Times New Roman" w:cs="Times New Roman"/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Atendimento adequado ao fluxo de usuários do plenário:</w:t>
      </w:r>
      <w:r>
        <w:rPr>
          <w:rFonts w:cs="Times New Roman" w:ascii="Times New Roman" w:hAnsi="Times New Roman"/>
          <w:color w:val="000000"/>
          <w:lang w:eastAsia="en-US"/>
        </w:rPr>
        <w:br/>
        <w:t>Os dois tipos de lixeiras — menores para cada vaso sanitário e maiores próximas à pia — garantirão capacidade suficiente para o descarte adequado de resíduos, evitando acúmulo e proporcionando condições de uso seguras e confortáveis.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rPr>
          <w:rFonts w:ascii="Times New Roman" w:hAnsi="Times New Roman" w:cs="Times New Roman"/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Conformidade com boas práticas de organização e funcionamento de ambientes institucionais:</w:t>
      </w:r>
      <w:r>
        <w:rPr>
          <w:rFonts w:cs="Times New Roman" w:ascii="Times New Roman" w:hAnsi="Times New Roman"/>
          <w:color w:val="000000"/>
          <w:lang w:eastAsia="en-US"/>
        </w:rPr>
        <w:br/>
        <w:t>A aquisição das lixeiras adequadas fortalecerá o padrão de qualidade dos espaços públicos internos, atendendo às exigências de higiene, estética e eficiência esperadas para o novo plenário.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Com isso, a contratação visa proporcionar um ambiente sanitário funcional, padronizado e eficiente, refletindo o compromisso da Câmara de Vereadores com a qualidade dos serviços oferecidos aos usuários do espaço.</w:t>
      </w:r>
    </w:p>
    <w:p>
      <w:pPr>
        <w:pStyle w:val="BodyText"/>
        <w:spacing w:lineRule="auto" w:line="276"/>
        <w:jc w:val="both"/>
        <w:rPr>
          <w:rStyle w:val="Fontepargpadro"/>
          <w:rFonts w:ascii="Times New Roman" w:hAnsi="Times New Roman" w:cs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10. </w:t>
      </w:r>
      <w:r>
        <w:rPr>
          <w:rStyle w:val="Fontepargpadro"/>
          <w:b/>
          <w:bCs/>
          <w:sz w:val="24"/>
          <w:szCs w:val="24"/>
          <w:lang w:eastAsia="en-US"/>
        </w:rPr>
        <w:t>PROVIDÊNCIAS PRÉVIAS AO CONTRATO: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Para a aquisição de lixeiras com pedal e lixeiras com tampa basculante destinadas aos banheiros da Câmara de Vereadores de Três Passos/RS, serão adotadas as providências administrativas necessárias à definição precisa das quantidades, tipos e especificações técnicas dos itens, em conformidade com a legislação aplicável e com as necessidades da instituição.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Será elaborado Termo de Referência detalhado, contendo a descrição completa das lixeiras, incluindo capacidade, material, cor, características funcionais, prazos, garantia, forma de entrega, bem como demais requisitos técnicos indispensáveis à adequada execução do objeto.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Será designado um servidor responsável para acompanhar todas as etapas do processo, desde a realização do pedido até o recebimento das lixeiras, conferindo características, quantidade, integridade dos itens, prazos, condições de garantia e o cumprimento integral das exigências técnicas por parte da empresa contratada.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Toda a execução contratual será registrada e documentada, garantindo rastreabilidade, transparência e controle administrativo, de modo a assegurar que as lixeiras entregues estejam em perfeitas condições de uso e atendam às necessidades operacionais e estéticas da Câmara Municipal.</w:t>
      </w:r>
    </w:p>
    <w:p>
      <w:pPr>
        <w:pStyle w:val="BodyText"/>
        <w:bidi w:val="0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11. </w:t>
      </w:r>
      <w:r>
        <w:rPr>
          <w:rStyle w:val="Fontepargpadro"/>
          <w:b/>
          <w:bCs/>
          <w:sz w:val="24"/>
          <w:szCs w:val="24"/>
          <w:lang w:eastAsia="en-US"/>
        </w:rPr>
        <w:t>CONTRATAÇÕES CORRELATAS E/OU INTERDEPENDENTES: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Não há, no momento, contratações diretamente correlatas ou interdependentes. Esta contratação é autônoma e supre a necessidade específica da Câmara.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12. </w:t>
      </w:r>
      <w:r>
        <w:rPr>
          <w:rStyle w:val="Fontepargpadro"/>
          <w:b/>
          <w:bCs/>
          <w:sz w:val="24"/>
          <w:szCs w:val="24"/>
          <w:lang w:eastAsia="en-US"/>
        </w:rPr>
        <w:t>POSSÍVEIS IMPACTOS AMBIENTAIS: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 </w:t>
      </w:r>
      <w:r>
        <w:rPr>
          <w:rStyle w:val="Fontepargpadro"/>
          <w:rFonts w:cs="Times New Roman"/>
          <w:b w:val="false"/>
          <w:bCs w:val="false"/>
          <w:sz w:val="24"/>
          <w:szCs w:val="24"/>
          <w:lang w:eastAsia="en-US"/>
        </w:rPr>
        <w:t xml:space="preserve">A aquisição das lixeiras de polipropileno para os banheiros sanitários do novo plenário da Câmara de Vereadores de Três Passos apresenta impactos ambientais considerados </w:t>
      </w:r>
      <w:r>
        <w:rPr>
          <w:rStyle w:val="Strong"/>
          <w:rFonts w:cs="Times New Roman"/>
          <w:sz w:val="24"/>
          <w:szCs w:val="24"/>
          <w:lang w:eastAsia="en-US"/>
        </w:rPr>
        <w:t>baixos</w:t>
      </w:r>
      <w:r>
        <w:rPr>
          <w:rStyle w:val="Fontepargpadro"/>
          <w:rFonts w:cs="Times New Roman"/>
          <w:b w:val="false"/>
          <w:bCs w:val="false"/>
          <w:sz w:val="24"/>
          <w:szCs w:val="24"/>
          <w:lang w:eastAsia="en-US"/>
        </w:rPr>
        <w:t xml:space="preserve"> e </w:t>
      </w:r>
      <w:r>
        <w:rPr>
          <w:rStyle w:val="Strong"/>
          <w:rFonts w:cs="Times New Roman"/>
          <w:sz w:val="24"/>
          <w:szCs w:val="24"/>
          <w:lang w:eastAsia="en-US"/>
        </w:rPr>
        <w:t>controláveis</w:t>
      </w:r>
      <w:r>
        <w:rPr>
          <w:rStyle w:val="Fontepargpadro"/>
          <w:rFonts w:cs="Times New Roman"/>
          <w:b w:val="false"/>
          <w:bCs w:val="false"/>
          <w:sz w:val="24"/>
          <w:szCs w:val="24"/>
          <w:lang w:eastAsia="en-US"/>
        </w:rPr>
        <w:t>, desde que observadas práticas adequadas de uso, manutenção e descarte.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Os principais aspectos ambientais relacionados ao objeto são os seguintes: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jc w:val="both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Uso de material plástico (polipropileno)</w:t>
      </w:r>
      <w:r>
        <w:rPr>
          <w:rFonts w:cs="Times New Roman" w:ascii="Times New Roman" w:hAnsi="Times New Roman"/>
          <w:lang w:eastAsia="en-US"/>
        </w:rPr>
        <w:br/>
        <w:t>As lixeiras são fabricadas em polipropileno, um material plástico durável e reciclável. Embora sua produção envolva consumo de recursos não renováveis, sua longa vida útil reduz a necessidade de reposições frequentes, minimizando geração de resíduos ao longo do tempo.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jc w:val="left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Durabilidade e possibilidade de reciclagem</w:t>
      </w:r>
      <w:r>
        <w:rPr>
          <w:rFonts w:cs="Times New Roman" w:ascii="Times New Roman" w:hAnsi="Times New Roman"/>
          <w:lang w:eastAsia="en-US"/>
        </w:rPr>
        <w:br/>
        <w:t>O polipropileno apresenta boa resistência mecânica e química, prolongando o ciclo de vida do produto. Ao final de sua vida útil, o material pode ser encaminhado à reciclagem, contribuindo para redução de resíduos sólidos destinados a aterros.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jc w:val="left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Contribuição indireta para a gestão adequada de resíduos</w:t>
      </w:r>
      <w:r>
        <w:rPr>
          <w:rFonts w:cs="Times New Roman" w:ascii="Times New Roman" w:hAnsi="Times New Roman"/>
          <w:lang w:eastAsia="en-US"/>
        </w:rPr>
        <w:br/>
        <w:t>A instalação de lixeiras apropriadas em pontos estratégicos (junto aos vasos sanitários e próximo às pias) promove o correto descarte de resíduos, reduzindo o risco de poluição, entupimentos e contaminação de superfícies, além de otimizar o processo de coleta interna.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jc w:val="left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Baixo impacto no consumo de recursos durante o uso</w:t>
      </w:r>
      <w:r>
        <w:rPr>
          <w:rFonts w:cs="Times New Roman" w:ascii="Times New Roman" w:hAnsi="Times New Roman"/>
          <w:lang w:eastAsia="en-US"/>
        </w:rPr>
        <w:br/>
        <w:t>As lixeiras, por serem objetos estáticos, não consomem energia nem demandam recursos adicionais além da higienização periódica, o que reduz impactos ambientais durante sua fase de utilização.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rPr>
          <w:rFonts w:ascii="Times New Roman" w:hAnsi="Times New Roman" w:cs="Times New Roman"/>
          <w:lang w:eastAsia="en-US"/>
        </w:rPr>
      </w:pPr>
      <w:r>
        <w:rPr>
          <w:rStyle w:val="Strong"/>
          <w:rFonts w:cs="Times New Roman" w:ascii="Times New Roman" w:hAnsi="Times New Roman"/>
          <w:lang w:eastAsia="en-US"/>
        </w:rPr>
        <w:t>Redução de desperdícios e melhoria sanitária</w:t>
      </w:r>
      <w:r>
        <w:rPr>
          <w:rFonts w:cs="Times New Roman" w:ascii="Times New Roman" w:hAnsi="Times New Roman"/>
          <w:lang w:eastAsia="en-US"/>
        </w:rPr>
        <w:br/>
        <w:t>A correta delimitação dos pontos de descarte tende a reduzir o acúmulo de resíduos em locais inadequados, contribuindo para práticas de limpeza mais eficientes e ambientalmente responsáveis.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 xml:space="preserve">Dessa forma, conclui-se que os impactos ambientais decorrentes da contratação são </w:t>
      </w:r>
      <w:r>
        <w:rPr>
          <w:rStyle w:val="Strong"/>
          <w:rFonts w:cs="Times New Roman" w:ascii="Times New Roman" w:hAnsi="Times New Roman"/>
          <w:lang w:eastAsia="en-US"/>
        </w:rPr>
        <w:t>mínimos</w:t>
      </w:r>
      <w:r>
        <w:rPr>
          <w:rFonts w:cs="Times New Roman" w:ascii="Times New Roman" w:hAnsi="Times New Roman"/>
          <w:lang w:eastAsia="en-US"/>
        </w:rPr>
        <w:t xml:space="preserve"> e mitigados pela durabilidade do produto, sua reciclabilidade e pela contribuição direta para a gestão adequada dos resíduos gerados nos banheiros sanitários do novo plenário.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13. </w:t>
      </w:r>
      <w:r>
        <w:rPr>
          <w:rStyle w:val="Fontepargpadro"/>
          <w:b/>
          <w:bCs/>
          <w:sz w:val="24"/>
          <w:szCs w:val="24"/>
          <w:lang w:eastAsia="en-US"/>
        </w:rPr>
        <w:t>DECLARAÇÃO DE VIABILIDADE: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  <w:lang w:val="pt-BR" w:eastAsia="pt-BR" w:bidi="ar-SA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</w:t>
      </w:r>
      <w:r>
        <w:rPr>
          <w:sz w:val="24"/>
          <w:szCs w:val="24"/>
          <w:shd w:fill="auto" w:val="clear"/>
          <w:lang w:val="pt-BR" w:eastAsia="pt-BR" w:bidi="ar-SA"/>
        </w:rPr>
        <w:t>sta Casa Legislativa, atende</w:t>
      </w:r>
      <w:r>
        <w:rPr>
          <w:sz w:val="24"/>
          <w:szCs w:val="24"/>
          <w:lang w:val="pt-BR" w:eastAsia="pt-BR" w:bidi="ar-SA"/>
        </w:rPr>
        <w:t>ndo aos padrões e os preços de mercado.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 w:val="false"/>
          <w:bCs w:val="false"/>
          <w:color w:val="111111"/>
          <w:sz w:val="24"/>
          <w:szCs w:val="24"/>
        </w:rPr>
        <w:t>Três Passos, 01 de dezembro de 2025.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</w:rPr>
        <w:t>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</w:rPr>
        <w:t>Emanuelle Cavalcante Carvalho Petrazzini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</w:rPr>
        <w:t>Diretora Geral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</w:rPr>
        <w:t>VIABILIDADE DECLARADA PELA AUTORIDADE SUPERIOR: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</w:rPr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sz w:val="24"/>
          <w:szCs w:val="24"/>
        </w:rPr>
        <w:t>FLAVIO HABITZREITER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>
        <w:sz w:val="24"/>
        <w:szCs w:val="24"/>
      </w:rPr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>
        <w:sz w:val="24"/>
        <w:szCs w:val="24"/>
      </w:rPr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u w:val="none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0"/>
      </w:numPr>
      <w:outlineLvl w:val="8"/>
    </w:pPr>
    <w:rPr>
      <w:b/>
      <w:i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highlight">
    <w:name w:val="highlight"/>
    <w:qFormat/>
    <w:rPr/>
  </w:style>
  <w:style w:type="character" w:styleId="badge">
    <w:name w:val="badge"/>
    <w:qFormat/>
    <w:rPr/>
  </w:style>
  <w:style w:type="character" w:styleId="CabealhoChar">
    <w:name w:val="Cabeçalho Char"/>
    <w:basedOn w:val="DefaultParagraphFont"/>
    <w:qFormat/>
    <w:rPr>
      <w:sz w:val="24"/>
      <w:szCs w:val="24"/>
    </w:rPr>
  </w:style>
  <w:style w:type="character" w:styleId="RodapChar">
    <w:name w:val="Rodapé Char"/>
    <w:basedOn w:val="DefaultParagraphFont"/>
    <w:qFormat/>
    <w:rPr>
      <w:sz w:val="24"/>
      <w:szCs w:val="24"/>
    </w:rPr>
  </w:style>
  <w:style w:type="character" w:styleId="TextodenotadefimChar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>
    <w:name w:val="Texto de nota de fim Char1"/>
    <w:basedOn w:val="DefaultParagraphFont"/>
    <w:qFormat/>
    <w:rPr/>
  </w:style>
  <w:style w:type="character" w:styleId="Fontepargpadro1">
    <w:name w:val="Fonte parág. padrão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3">
    <w:name w:val="WW8Num20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Ttulo1Char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>
    <w:name w:val="t1"/>
    <w:qFormat/>
    <w:rPr/>
  </w:style>
  <w:style w:type="character" w:styleId="t3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rong1">
    <w:name w:val="Strong1"/>
    <w:qFormat/>
    <w:rPr>
      <w:b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rpodetexto2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>
    <w:name w:val="Texto padrão"/>
    <w:basedOn w:val="Normal"/>
    <w:qFormat/>
    <w:pPr/>
    <w:rPr>
      <w:szCs w:val="20"/>
      <w:lang w:eastAsia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>
    <w:name w:val="p7"/>
    <w:basedOn w:val="Normal"/>
    <w:qFormat/>
    <w:pPr>
      <w:spacing w:before="280" w:after="280"/>
    </w:pPr>
    <w:rPr/>
  </w:style>
  <w:style w:type="paragraph" w:styleId="p19">
    <w:name w:val="p19"/>
    <w:basedOn w:val="Normal"/>
    <w:qFormat/>
    <w:pPr>
      <w:spacing w:before="280" w:after="280"/>
    </w:pPr>
    <w:rPr/>
  </w:style>
  <w:style w:type="paragraph" w:styleId="Commarcadores3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rpodetexto3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caption2">
    <w:name w:val="caption2"/>
    <w:basedOn w:val="Normal"/>
    <w:qFormat/>
    <w:pPr>
      <w:spacing w:before="120" w:after="120"/>
    </w:pPr>
    <w:rPr>
      <w:i/>
      <w:iCs/>
    </w:rPr>
  </w:style>
  <w:style w:type="paragraph" w:styleId="Textodebalo">
    <w:name w:val="Texto de balão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SemEspaamento">
    <w:name w:val="Sem Espaça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Liberation Serif" w:cs="Liberation Serif"/>
      <w:color w:val="00000A"/>
      <w:kern w:val="0"/>
      <w:sz w:val="22"/>
      <w:szCs w:val="22"/>
      <w:lang w:val="pt-BR" w:eastAsia="hi-IN" w:bidi="hi-IN"/>
    </w:rPr>
  </w:style>
  <w:style w:type="paragraph" w:styleId="EndnoteSymbol1">
    <w:name w:val="Endnote Symbol1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ar-SA"/>
    </w:rPr>
  </w:style>
  <w:style w:type="paragraph" w:styleId="PargrafodaLista">
    <w:name w:val="Parágrafo da Lista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/>
      <w:sz w:val="22"/>
      <w:szCs w:val="22"/>
      <w:lang w:eastAsia="ar-SA"/>
    </w:rPr>
  </w:style>
  <w:style w:type="numbering" w:styleId="Semlista">
    <w:name w:val="Sem lista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Application>LibreOffice/25.2.7.2$Windows_X86_64 LibreOffice_project/5cbfd1ab6520636bb5f7b99185aa69bd7456825d</Application>
  <AppVersion>15.0000</AppVersion>
  <Pages>14</Pages>
  <Words>4602</Words>
  <Characters>26520</Characters>
  <CharactersWithSpaces>30983</CharactersWithSpaces>
  <Paragraphs>227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2024-10-02T14:18:40Z</cp:lastPrinted>
  <dcterms:modified xsi:type="dcterms:W3CDTF">2025-12-05T07:46:08Z</dcterms:modified>
  <cp:revision>138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