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1"/>
          <w:szCs w:val="21"/>
        </w:rPr>
      </w:pPr>
      <w:r>
        <w:rPr>
          <w:b/>
          <w:bCs/>
          <w:sz w:val="21"/>
          <w:szCs w:val="21"/>
        </w:rPr>
        <w:t xml:space="preserve">ESTUDO TÉCNICO PRELIMINAR </w:t>
      </w:r>
      <w:r>
        <w:rPr>
          <w:b/>
          <w:bCs/>
          <w:color w:val="000000"/>
          <w:sz w:val="21"/>
          <w:szCs w:val="21"/>
        </w:rPr>
        <w:t>Nº 01</w:t>
      </w:r>
      <w:r>
        <w:rPr>
          <w:b/>
          <w:bCs/>
          <w:color w:val="000000"/>
          <w:sz w:val="21"/>
          <w:szCs w:val="21"/>
          <w:shd w:fill="auto" w:val="clear"/>
        </w:rPr>
        <w:t>/20</w:t>
      </w:r>
      <w:r>
        <w:rPr>
          <w:b/>
          <w:bCs/>
          <w:sz w:val="21"/>
          <w:szCs w:val="21"/>
          <w:shd w:fill="auto" w:val="clear"/>
        </w:rPr>
        <w:t>26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PROCESSO ADMINISTRATIVO </w:t>
      </w:r>
      <w:r>
        <w:rPr>
          <w:b/>
          <w:bCs/>
          <w:color w:val="000000"/>
          <w:sz w:val="21"/>
          <w:szCs w:val="21"/>
          <w:shd w:fill="auto" w:val="clear"/>
        </w:rPr>
        <w:t>N° 01/2026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b/>
          <w:bCs/>
          <w:sz w:val="21"/>
          <w:szCs w:val="21"/>
        </w:rPr>
        <w:t>CÂMARA MUNICIPAL DE TRÊS PASSOS/RS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BASE LEGAL: Art. 75, VIII, DA LEI 14.133/2021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1. OBJETO DA CONTRATAÇÃO: 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1"/>
          <w:szCs w:val="21"/>
          <w:shd w:fill="auto" w:val="clear"/>
          <w:lang w:eastAsia="en-US"/>
        </w:rPr>
        <w:t>Contratação de sistemas de gestão pública da empresa DELTA SOLUÇÕES EM INFORMÁTICA LTDA, atual fornecedora dos serviços, até que se finalize o novo certame, conforme Termo de Referência anexo ao processo.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1"/>
          <w:szCs w:val="21"/>
          <w:lang w:eastAsia="en-US"/>
        </w:rPr>
        <w:t>2. DESCRIÇÃO DA NECESSIDADE:</w:t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firstLine="794" w:left="0" w:right="113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</w:rPr>
        <w:t xml:space="preserve">Justifica-se a presente contratação através das seguintes considerações: A Câmara  Municipal através de processo de Inexigibilidade de Licitação, firmou contrato com a empresa Delta Soluções em Informática Ltda, cujo contrato terá término no dia 12.01.2026.    </w:t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firstLine="794" w:left="0" w:right="113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</w:rPr>
        <w:t xml:space="preserve">Ocorre que apesar de o Poder Executivo ter lançado nova licitação compartilhada com a Câmara Municipal e com o IPSTP (LIC. 290/2025) o procedimento encontra-se suspenso para análise das impugnações interpostas, razão pela qual, necessária a contratação de forma emergencial para que os serviços prestados não sofram interrupção. Salienta-se que mesmo que o processo tenha prosseguimento terá no mínimo mais 60 (sessenta) dias de continuidade, até que se realize a prova de conceito, julguem-se os recursos e demais atos. </w:t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firstLine="794" w:left="0" w:right="113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</w:rPr>
        <w:t>Não havendo continuidade, e sendo necessária a elaboração de novo ETP/TR, possivelmente será necessária utilização de todo o tempo contratado. A descontinuidade dos serviços de softwares implicaria riscos legais de grande magnitude, como por exemplo o comprometimento de obrigações junto a órgãos de controle. A interrupção abrupta dos serviços, sem tempo hábil para substituição planejada do sistema, representaria risco à continuidade de atividades essenciais da gestão pública, tais como: folha de pagamento, controle orçamentário e obrigações legais perante órgão de controle.</w:t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firstLine="850" w:left="0" w:right="170"/>
        <w:jc w:val="both"/>
        <w:rPr>
          <w:rFonts w:ascii="Times New Roman" w:hAnsi="Times New Roman"/>
          <w:sz w:val="21"/>
          <w:szCs w:val="21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</w:rPr>
        <w:t>Objetiva-se a continuidade das atividades da Câmara Municipal, uma vez que os sistemas são essenciais para o andamento das rotinas contábeis e administrativas.</w:t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113"/>
        <w:jc w:val="both"/>
        <w:rPr>
          <w:rFonts w:ascii="Times New Roman" w:hAnsi="Times New Roman"/>
          <w:sz w:val="21"/>
          <w:szCs w:val="21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</w:rPr>
        <w:t xml:space="preserve">A presente contratação será realizada por </w:t>
      </w:r>
      <w:r>
        <w:rPr>
          <w:rFonts w:cs="Times New Roman" w:ascii="Times New Roman" w:hAnsi="Times New Roman"/>
          <w:b/>
          <w:bCs/>
          <w:sz w:val="21"/>
          <w:szCs w:val="21"/>
          <w:shd w:fill="auto" w:val="clear"/>
        </w:rPr>
        <w:t>dispensa de licitação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</w:rPr>
        <w:t xml:space="preserve"> com fundamento jurídico no art. 75, VIII, da Lei 14.133/2021,</w:t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firstLine="850" w:left="0" w:right="17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1"/>
          <w:szCs w:val="21"/>
          <w:shd w:fill="auto" w:val="clear"/>
          <w:lang w:eastAsia="en-US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1"/>
          <w:szCs w:val="21"/>
          <w:shd w:fill="auto" w:val="clear"/>
          <w:lang w:eastAsia="en-US"/>
        </w:rPr>
        <w:t>Ao processo administrativo foram juntados: O ter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1"/>
          <w:szCs w:val="21"/>
          <w:lang w:eastAsia="en-US"/>
        </w:rPr>
        <w:t>mo de referência para dispensa, onde consta a justificativa e o descritivo e os orçamentos coletados. No termo de referência estão expressos a razão da escolha do fornecedor. Também se encontram anexos e já devidamente conferidos os documentos habilitatórios mínimos, necessários para a contratação.</w:t>
      </w:r>
    </w:p>
    <w:p>
      <w:pPr>
        <w:pStyle w:val="Normal"/>
        <w:spacing w:lineRule="auto" w:line="276"/>
        <w:jc w:val="both"/>
        <w:rPr>
          <w:rStyle w:val="Fontepargpadro"/>
          <w:rFonts w:ascii="Times New Roman" w:hAnsi="Times New Roman"/>
          <w:sz w:val="21"/>
          <w:szCs w:val="21"/>
          <w:shd w:fill="auto" w:val="clear"/>
          <w:lang w:eastAsia="en-US"/>
        </w:rPr>
      </w:pPr>
      <w:r>
        <w:rPr>
          <w:sz w:val="21"/>
          <w:szCs w:val="21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1"/>
          <w:szCs w:val="21"/>
          <w:shd w:fill="auto" w:val="clear"/>
          <w:lang w:eastAsia="en-US"/>
        </w:rPr>
        <w:t>3. ALINHAMENTO ENTRE A CONTRATAÇÃO E O PLANEJAMENTO: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794" w:left="0" w:right="0"/>
        <w:jc w:val="both"/>
        <w:rPr/>
      </w:pPr>
      <w:r>
        <w:rPr>
          <w:rStyle w:val="Fontepargpadro"/>
          <w:rFonts w:cs="Times New Roman" w:ascii="Times New Roman" w:hAnsi="Times New Roman"/>
          <w:sz w:val="21"/>
          <w:szCs w:val="21"/>
          <w:shd w:fill="auto" w:val="clear"/>
          <w:lang w:eastAsia="en-US"/>
        </w:rPr>
        <w:t>A</w:t>
      </w:r>
      <w:r>
        <w:rPr>
          <w:rStyle w:val="Fontepargpadro"/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  <w:t xml:space="preserve"> contratação de empresa de sistemas de gestão pública está prevista no Plano Anual de Contratações – PAC, estando em conformidade com o planejamento da Câmara Municipal.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eastAsia="en-US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/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1"/>
          <w:szCs w:val="21"/>
          <w:lang w:eastAsia="en-US"/>
        </w:rPr>
        <w:t>4. DESCRIÇÃO DOS REQUISITOS DA CONTRATAÇÃO:</w:t>
      </w:r>
    </w:p>
    <w:p>
      <w:pPr>
        <w:pStyle w:val="Normal"/>
        <w:spacing w:lineRule="auto" w:line="276"/>
        <w:jc w:val="both"/>
        <w:rPr>
          <w:rStyle w:val="Fontepargpadro"/>
          <w:rFonts w:ascii="Times New Roman" w:hAnsi="Times New Roman"/>
          <w:b/>
          <w:bCs/>
          <w:sz w:val="21"/>
          <w:szCs w:val="21"/>
          <w:lang w:eastAsia="en-US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u w:val="none"/>
        </w:rPr>
        <w:t>4.1 DO FORNECEDOR A SER CONTRATADO, DA RAZÃO DA ESCOLHA DO CONTRATADO E REQUISITOS HABILITATÓRIOS MÍNIMOS.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u w:val="none"/>
        </w:rPr>
        <w:t>4.1.1.</w:t>
      </w:r>
      <w:r>
        <w:rPr>
          <w:rFonts w:eastAsia="Calibri"/>
          <w:color w:val="000000"/>
          <w:sz w:val="21"/>
          <w:szCs w:val="21"/>
        </w:rPr>
        <w:t xml:space="preserve">O fornecedor que apresentou o menor preço é a empresa DELTA SOLUÇÕES EM INFORMÁTICA LTDA., CNPJ 03.703.992/0001-01, com endereço Av. Lageado, 1212, sala 1001, bairro Petrópolis, Porto Alegre/RS., representada por </w:t>
      </w:r>
      <w:r>
        <w:rPr>
          <w:sz w:val="21"/>
          <w:szCs w:val="21"/>
        </w:rPr>
        <w:t>proprietário/administrador Jorge Luiz Alano, brasileiro, divorciado, Analista de Sistemas, com CPF n.º xxx.xxx.719-34, residente e domiciliado na cidade de Porto Alegre/RS.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>4.1.2.</w:t>
      </w:r>
      <w:r>
        <w:rPr>
          <w:rFonts w:eastAsia="Calibri"/>
          <w:color w:val="000000"/>
          <w:sz w:val="21"/>
          <w:szCs w:val="21"/>
        </w:rPr>
        <w:t xml:space="preserve"> As exigências de habilitação jurídica e de regularidade fiscal, social e trabalhista são as usuais para a generalidade do serviço, cujas negativas encontra-se anexadas ao memorando que acompanha este termo, e encontram-se válidas.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>4.1.3.</w:t>
      </w:r>
      <w:r>
        <w:rPr>
          <w:rFonts w:eastAsia="Calibri"/>
          <w:color w:val="000000"/>
          <w:sz w:val="21"/>
          <w:szCs w:val="21"/>
        </w:rPr>
        <w:t xml:space="preserve"> A razão de escolha do fornecedor </w:t>
      </w:r>
      <w:r>
        <w:rPr>
          <w:rFonts w:eastAsia="Calibri"/>
          <w:color w:val="000000"/>
          <w:sz w:val="21"/>
          <w:szCs w:val="21"/>
          <w:u w:val="single"/>
        </w:rPr>
        <w:t>está embasada na necessidade e complexidade dos serviços prestados, sendo necessária a sua continuidade, uma vez que não como procedermos em troca de sistemas sem que a mesma ocorra por processo licitatório, ante a complexidade do trâmite.</w:t>
      </w:r>
      <w:r>
        <w:rPr>
          <w:rFonts w:eastAsia="Calibri"/>
          <w:color w:val="000000"/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 xml:space="preserve">Os preços aplicados são os mesmos do procedimento licitatório realizado no Município de Crissiumal após processo licitatório, sendo um município de menor porte que Três Passos que </w:t>
      </w:r>
      <w:r>
        <w:rPr>
          <w:rFonts w:eastAsia="Calibri"/>
          <w:color w:val="000000"/>
          <w:sz w:val="21"/>
          <w:szCs w:val="21"/>
        </w:rPr>
        <w:t xml:space="preserve">demonstra que o preço praticado é condizente com o mercado.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 xml:space="preserve">4.1.4. </w:t>
      </w:r>
      <w:r>
        <w:rPr>
          <w:rFonts w:eastAsia="Calibri"/>
          <w:color w:val="000000"/>
          <w:sz w:val="21"/>
          <w:szCs w:val="21"/>
        </w:rPr>
        <w:t xml:space="preserve">Os preços também foram verificados no licitacon verificando-se que o preço condiz com o de mercado em contratações similares.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u w:val="single"/>
        </w:rPr>
        <w:t>4.2.DOS FISCAIS DO CONTRATO E DAS OBRIGAÇÕES DA CONTRATANTE.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u w:val="single"/>
        </w:rPr>
        <w:t xml:space="preserve">4.2.1 </w:t>
      </w:r>
      <w:r>
        <w:rPr>
          <w:sz w:val="21"/>
          <w:szCs w:val="21"/>
        </w:rPr>
        <w:t>A gestão do contrato ficará a cargo da presidente da Câmara Municipal, S</w:t>
      </w:r>
      <w:r>
        <w:rPr>
          <w:b w:val="false"/>
          <w:bCs w:val="false"/>
          <w:color w:val="000000"/>
          <w:sz w:val="21"/>
          <w:szCs w:val="21"/>
        </w:rPr>
        <w:t xml:space="preserve">ra.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Maria Helena Gehlen Krummenauer</w:t>
      </w:r>
      <w:r>
        <w:rPr>
          <w:b w:val="false"/>
          <w:bCs w:val="false"/>
          <w:color w:val="000000"/>
          <w:sz w:val="21"/>
          <w:szCs w:val="21"/>
        </w:rPr>
        <w:t xml:space="preserve">  ou quem vier a substituí-la. A</w:t>
      </w:r>
      <w:r>
        <w:rPr>
          <w:sz w:val="21"/>
          <w:szCs w:val="21"/>
        </w:rPr>
        <w:t xml:space="preserve"> fiscalização através da servidora: Andrieli Camila Hepp (matrícula 120).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>4.3. São obrigações da Contratante: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284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 xml:space="preserve">4.3.1 Receber e acompanhar os serviços nos prazo e condições estabelecidas neste termo e contrato.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284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sz w:val="21"/>
          <w:szCs w:val="21"/>
        </w:rPr>
        <w:t xml:space="preserve">4.3.2 Verificar minuciosamente, no prazo fixado, a conformidade dos serviços prestados.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284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sz w:val="21"/>
          <w:szCs w:val="21"/>
        </w:rPr>
        <w:t>4.3.3 Comunicar à Contratada, por escrito, sobre imperfeições, falhas ou irregularidades verificadas, para que ocorram as adequações necessárias;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284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sz w:val="21"/>
          <w:szCs w:val="21"/>
        </w:rPr>
        <w:t>4.3.4 Efetuar o pagamento à Contratada</w:t>
      </w:r>
      <w:r>
        <w:rPr>
          <w:rFonts w:eastAsia="Calibri"/>
          <w:b/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>no valor correspondente a prestação dos serviços, no prazo e forma estabelecidos no contrato, observada a ordem cronológica para cada fonte diferenciada de recursos, nos termos do art. 141 da Lei nº 14.133/2021;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</w:tabs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sz w:val="21"/>
          <w:szCs w:val="21"/>
        </w:rPr>
        <w:t>4.4</w:t>
      </w:r>
      <w:r>
        <w:rPr>
          <w:rFonts w:eastAsia="Calibri"/>
          <w:sz w:val="21"/>
          <w:szCs w:val="21"/>
        </w:rPr>
        <w:t xml:space="preserve">  A Câmara Municipal não responderá por quaisquer compromissos assumidos pela Contratada com terceiros, ainda que vinculados à execução do presente Termo, bem como por qualquer dano causado a terceiros em decorrência de ato da Contratada, de seus empregados, prepostos ou subordinados.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</w:tabs>
        <w:suppressAutoHyphens w:val="false"/>
        <w:spacing w:lineRule="auto" w:line="276"/>
        <w:ind w:hanging="0" w:left="0"/>
        <w:jc w:val="both"/>
        <w:rPr>
          <w:rFonts w:ascii="Times New Roman" w:hAnsi="Times New Roman" w:eastAsia="Calibri"/>
          <w:sz w:val="21"/>
          <w:szCs w:val="21"/>
        </w:rPr>
      </w:pPr>
      <w:r>
        <w:rPr>
          <w:rFonts w:eastAsia="Calibri"/>
          <w:sz w:val="21"/>
          <w:szCs w:val="21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u w:val="single"/>
        </w:rPr>
        <w:t>4.5 OBRIGAÇÕES DA CONTRATADA.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26" w:leader="none"/>
        </w:tabs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 xml:space="preserve">4.5.1 </w:t>
      </w:r>
      <w:r>
        <w:rPr>
          <w:rFonts w:eastAsia="Calibri"/>
          <w:color w:val="000000"/>
          <w:sz w:val="21"/>
          <w:szCs w:val="21"/>
        </w:rPr>
        <w:t>A Contratada deve cumprir todas as obrigações constantes no neste termo de referência, assumindo como exclusivamente seus os riscos e as despesas decorrentes da boa e perfeita execução do objeto e, ainda: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567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>4.5.1.1</w:t>
      </w:r>
      <w:r>
        <w:rPr>
          <w:rFonts w:eastAsia="Calibri"/>
          <w:color w:val="000000"/>
          <w:sz w:val="21"/>
          <w:szCs w:val="21"/>
        </w:rPr>
        <w:t xml:space="preserve"> Efetuar a entrega dos serviços, conforme especificações, prazo e local constantes neste termo;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567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>4.5.1.2</w:t>
      </w:r>
      <w:r>
        <w:rPr>
          <w:rFonts w:eastAsia="Calibri"/>
          <w:sz w:val="21"/>
          <w:szCs w:val="21"/>
        </w:rPr>
        <w:t>Responsabilizar-se pelos vícios e danos decorrentes do objeto, de acordo com os artigos 12, 13 e 17 a 27, do Código de Defesa do Consumidor (Lei nº 8.078, de 1990);</w:t>
      </w:r>
      <w:r>
        <w:rPr>
          <w:rFonts w:eastAsia="Calibri"/>
          <w:color w:val="FF0000"/>
          <w:sz w:val="21"/>
          <w:szCs w:val="21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567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>4.5.1.3</w:t>
      </w:r>
      <w:r>
        <w:rPr>
          <w:rFonts w:eastAsia="Calibri"/>
          <w:sz w:val="21"/>
          <w:szCs w:val="21"/>
        </w:rPr>
        <w:t>Responsabilizar-se pelos danos causados diretamente à Câmara Municipal ou a terceiros em razão da execução do contrato;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567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 xml:space="preserve">4.5.1.4 </w:t>
      </w:r>
      <w:r>
        <w:rPr>
          <w:rFonts w:eastAsia="Calibri"/>
          <w:sz w:val="21"/>
          <w:szCs w:val="21"/>
        </w:rPr>
        <w:t>Manter, durante toda a execução do contrato, em compatibilidade com as obrigações assumidas, todas as condições de habilitação e qualificação exigidas na licitação;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567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 xml:space="preserve">4.5.1.5 </w:t>
      </w:r>
      <w:r>
        <w:rPr>
          <w:rFonts w:eastAsia="Calibri"/>
          <w:sz w:val="21"/>
          <w:szCs w:val="21"/>
        </w:rPr>
        <w:t>Indicar preposto para representá-la durante a execução do contrato;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u w:val="single"/>
        </w:rPr>
        <w:t>4.6 DO PAGAMENTO.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>4.6.1</w:t>
      </w:r>
      <w:r>
        <w:rPr>
          <w:rFonts w:eastAsia="Calibri"/>
          <w:color w:val="000000"/>
          <w:sz w:val="21"/>
          <w:szCs w:val="21"/>
        </w:rPr>
        <w:t>. O pagamento será realizado até o 10º (décimo) dia do mês subsequente após a prestação dos serviços ou conforme parecer contábil, priorizando-se o prazo estipulado neste, contados a partir do recebimento da Nota Fiscal ou Fatura, através de ordem bancária, para crédito em banco, agência e conta corrente indicados pelo contratado, sempre após a realização das entregas.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 xml:space="preserve">4.6.2 </w:t>
      </w:r>
      <w:r>
        <w:rPr>
          <w:rFonts w:eastAsia="Calibri"/>
          <w:color w:val="000000"/>
          <w:sz w:val="21"/>
          <w:szCs w:val="21"/>
        </w:rPr>
        <w:t>Considera-se ocorrido o recebimento da nota fiscal ou fatura no momento em que o órgão contratante atestar a execução do objeto do contrato.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 xml:space="preserve">4.6.3 </w:t>
      </w:r>
      <w:r>
        <w:rPr>
          <w:rFonts w:eastAsia="Calibri"/>
          <w:color w:val="000000"/>
          <w:sz w:val="21"/>
          <w:szCs w:val="21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numPr>
          <w:ilvl w:val="0"/>
          <w:numId w:val="0"/>
        </w:numPr>
        <w:tabs>
          <w:tab w:val="left" w:pos="709" w:leader="none"/>
        </w:tabs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 xml:space="preserve">4.6.4 </w:t>
      </w:r>
      <w:r>
        <w:rPr>
          <w:rFonts w:eastAsia="Calibri"/>
          <w:color w:val="000000"/>
          <w:sz w:val="21"/>
          <w:szCs w:val="21"/>
        </w:rPr>
        <w:t>Quando do pagamento, será efetuada a retenção tributária prevista na legislação aplicável.</w:t>
      </w:r>
    </w:p>
    <w:p>
      <w:pPr>
        <w:pStyle w:val="Normal"/>
        <w:numPr>
          <w:ilvl w:val="0"/>
          <w:numId w:val="0"/>
        </w:numPr>
        <w:tabs>
          <w:tab w:val="left" w:pos="709" w:leader="none"/>
        </w:tabs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 xml:space="preserve">4.6.4.1 </w:t>
      </w:r>
      <w:r>
        <w:rPr>
          <w:rFonts w:eastAsia="Calibri"/>
          <w:color w:val="000000"/>
          <w:sz w:val="21"/>
          <w:szCs w:val="21"/>
        </w:rPr>
        <w:t xml:space="preserve">A Contratada regularmente optante pelo Simples Nacional, nos termos da Lei Complementar nº 123/2006, não sofrerá a retenção tributária quanto aos impostos e contribuições abrangidos por aquele regime.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>4.6.5</w:t>
      </w:r>
      <w:r>
        <w:rPr>
          <w:rFonts w:eastAsia="Calibri"/>
          <w:color w:val="000000"/>
          <w:sz w:val="21"/>
          <w:szCs w:val="21"/>
        </w:rPr>
        <w:t xml:space="preserve"> Nos casos de eventuais atrasos de pagamento, desde que a Contratada não tenha concorrido, de alguma forma, para tanto, fica convencionado que os valores serão atualizados pelo INPC do período.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color w:val="000000"/>
          <w:sz w:val="21"/>
          <w:szCs w:val="21"/>
          <w:u w:val="single"/>
        </w:rPr>
        <w:t>4.7 DAS INFRAÇÕES E SANÇÕES ADMINISTRATIVAS.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  <w:u w:val="single"/>
        </w:rPr>
        <w:t xml:space="preserve">4.7.1 </w:t>
      </w:r>
      <w:r>
        <w:rPr>
          <w:b/>
          <w:bCs/>
          <w:sz w:val="21"/>
          <w:szCs w:val="21"/>
        </w:rPr>
        <w:t>Das Infrações Administrativas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b/>
          <w:bCs/>
          <w:sz w:val="21"/>
          <w:szCs w:val="21"/>
        </w:rPr>
        <w:t xml:space="preserve">4.7.1.1 </w:t>
      </w:r>
      <w:r>
        <w:rPr>
          <w:sz w:val="21"/>
          <w:szCs w:val="21"/>
        </w:rPr>
        <w:t>Comete infração administrativa, nos termos da Lei Federal nº 14.133/2021, o licitante ou o contratado que: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4.7.1.1.1. </w:t>
      </w:r>
      <w:r>
        <w:rPr>
          <w:rFonts w:ascii="Times New Roman" w:hAnsi="Times New Roman"/>
          <w:sz w:val="21"/>
          <w:szCs w:val="21"/>
        </w:rPr>
        <w:t xml:space="preserve">der causa à inexecução parcial do contrato;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4.7.1.1.2. </w:t>
      </w:r>
      <w:r>
        <w:rPr>
          <w:rFonts w:ascii="Times New Roman" w:hAnsi="Times New Roman"/>
          <w:sz w:val="21"/>
          <w:szCs w:val="21"/>
        </w:rPr>
        <w:t xml:space="preserve">der causa à inexecução parcial do contrato que cause grave dano à Câmara Municipal, ao funcionamento dos serviços públicos ou ao interesse coletivo;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4.7.1.1.3. </w:t>
      </w:r>
      <w:r>
        <w:rPr>
          <w:rFonts w:ascii="Times New Roman" w:hAnsi="Times New Roman"/>
          <w:sz w:val="21"/>
          <w:szCs w:val="21"/>
        </w:rPr>
        <w:t xml:space="preserve">der causa à inexecução total do contrato;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4.7.1.1.4. </w:t>
      </w:r>
      <w:r>
        <w:rPr>
          <w:rFonts w:ascii="Times New Roman" w:hAnsi="Times New Roman"/>
          <w:sz w:val="21"/>
          <w:szCs w:val="21"/>
        </w:rPr>
        <w:t>deixar de entregar a documentação exigida para o certame;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4.7.1.1.5. </w:t>
      </w:r>
      <w:r>
        <w:rPr>
          <w:rFonts w:ascii="Times New Roman" w:hAnsi="Times New Roman"/>
          <w:sz w:val="21"/>
          <w:szCs w:val="21"/>
        </w:rPr>
        <w:t>não mantenha a proposta, salvo em decorrência de fato superveniente devidamente justificado;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4.7.1.1.6. </w:t>
      </w:r>
      <w:r>
        <w:rPr>
          <w:rFonts w:ascii="Times New Roman" w:hAnsi="Times New Roman"/>
          <w:sz w:val="21"/>
          <w:szCs w:val="21"/>
        </w:rPr>
        <w:t xml:space="preserve">não celebre o contrato ou não entregue a documentação exigida para a contratação, quando convocado dentro do prazo de validade de sua proposta;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4.7.1.1.7. </w:t>
      </w:r>
      <w:r>
        <w:rPr>
          <w:rFonts w:ascii="Times New Roman" w:hAnsi="Times New Roman"/>
          <w:sz w:val="21"/>
          <w:szCs w:val="21"/>
        </w:rPr>
        <w:t xml:space="preserve">enseje o retardamento da execução ou da entrega do objeto da licitação, sem motivo justificado;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4.7.1.1.8.</w:t>
      </w:r>
      <w:r>
        <w:rPr>
          <w:rFonts w:ascii="Times New Roman" w:hAnsi="Times New Roman"/>
          <w:sz w:val="21"/>
          <w:szCs w:val="21"/>
        </w:rPr>
        <w:t xml:space="preserve">apresente declaração ou documentação falsa exigida para o certame ou preste declaração falsa durante a licitação ou a execução do contrato;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4.7.1.1.9. </w:t>
      </w:r>
      <w:r>
        <w:rPr>
          <w:rFonts w:ascii="Times New Roman" w:hAnsi="Times New Roman"/>
          <w:sz w:val="21"/>
          <w:szCs w:val="21"/>
        </w:rPr>
        <w:t xml:space="preserve">fraude a licitação ou pratique ato fraudulento na execução do contrato;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4.7.1.1.10. </w:t>
      </w:r>
      <w:r>
        <w:rPr>
          <w:rFonts w:ascii="Times New Roman" w:hAnsi="Times New Roman"/>
          <w:sz w:val="21"/>
          <w:szCs w:val="21"/>
        </w:rPr>
        <w:t>comporte-se de modo inidôneo ou cometa fraude de qualquer natureza;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4.7.1.1.11. </w:t>
      </w:r>
      <w:r>
        <w:rPr>
          <w:rFonts w:ascii="Times New Roman" w:hAnsi="Times New Roman"/>
          <w:sz w:val="21"/>
          <w:szCs w:val="21"/>
        </w:rPr>
        <w:t xml:space="preserve">pratique atos ilícitos com vistas a frustrar os objetivos da licitação;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4.7.1.1.12. </w:t>
      </w:r>
      <w:r>
        <w:rPr>
          <w:rFonts w:ascii="Times New Roman" w:hAnsi="Times New Roman"/>
          <w:sz w:val="21"/>
          <w:szCs w:val="21"/>
        </w:rPr>
        <w:t xml:space="preserve">pratique ato lesivo previsto no art. 5º da Lei nº 12.846, de 1º de agosto de 2013.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4.7.2 Do Processo Administrativo e das Sanções Administrativas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4.7.2.1.</w:t>
      </w:r>
      <w:r>
        <w:rPr>
          <w:rFonts w:ascii="Times New Roman" w:hAnsi="Times New Roman"/>
          <w:sz w:val="21"/>
          <w:szCs w:val="21"/>
        </w:rPr>
        <w:t xml:space="preserve"> A aplicação de quaisquer das penalidades aqui previstas realizar-se-á em processo administrativo, assegurado o contraditório e a ampla defesa, observando-se o procedimento previsto na Lei Federal nº 14.133/2021.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4.7.2.2. S</w:t>
      </w:r>
      <w:r>
        <w:rPr>
          <w:rFonts w:ascii="Times New Roman" w:hAnsi="Times New Roman"/>
          <w:sz w:val="21"/>
          <w:szCs w:val="21"/>
        </w:rPr>
        <w:t>erão aplicadas ao responsável pelas infra</w:t>
      </w:r>
      <w:r>
        <w:rPr>
          <w:rFonts w:ascii="Times New Roman" w:hAnsi="Times New Roman"/>
          <w:sz w:val="21"/>
          <w:szCs w:val="21"/>
          <w:shd w:fill="auto" w:val="clear"/>
        </w:rPr>
        <w:t xml:space="preserve">ções administrativas, as seguintes sanções: 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  <w:shd w:fill="auto" w:val="clear"/>
        </w:rPr>
        <w:t xml:space="preserve">4.7.2.2.1 </w:t>
      </w:r>
      <w:r>
        <w:rPr>
          <w:rFonts w:ascii="Times New Roman" w:hAnsi="Times New Roman"/>
          <w:sz w:val="21"/>
          <w:szCs w:val="21"/>
          <w:shd w:fill="auto" w:val="clear"/>
        </w:rPr>
        <w:t xml:space="preserve">advertência, para a infração prevista no item subitem 4.7.1.1.1., </w:t>
      </w:r>
      <w:r>
        <w:rPr>
          <w:rFonts w:eastAsia="Arial" w:ascii="Times New Roman" w:hAnsi="Times New Roman"/>
          <w:color w:val="000000"/>
          <w:sz w:val="21"/>
          <w:szCs w:val="21"/>
          <w:shd w:fill="auto" w:val="clear"/>
        </w:rPr>
        <w:t>qu</w:t>
      </w:r>
      <w:r>
        <w:rPr>
          <w:rFonts w:eastAsia="Arial" w:ascii="Times New Roman" w:hAnsi="Times New Roman"/>
          <w:color w:val="000000"/>
          <w:sz w:val="21"/>
          <w:szCs w:val="21"/>
        </w:rPr>
        <w:t>ando não se justificar a imposição de penalidade mais grave</w:t>
      </w:r>
      <w:r>
        <w:rPr>
          <w:rFonts w:ascii="Times New Roman" w:hAnsi="Times New Roman"/>
          <w:sz w:val="21"/>
          <w:szCs w:val="21"/>
        </w:rPr>
        <w:t>;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4.7.2.2.2 </w:t>
      </w:r>
      <w:r>
        <w:rPr>
          <w:rFonts w:ascii="Times New Roman" w:hAnsi="Times New Roman"/>
          <w:sz w:val="21"/>
          <w:szCs w:val="21"/>
        </w:rPr>
        <w:t>multa, nas modalidades: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4.7.2.2.2.1 </w:t>
      </w:r>
      <w:r>
        <w:rPr>
          <w:rFonts w:ascii="Times New Roman" w:hAnsi="Times New Roman"/>
          <w:color w:val="000000"/>
          <w:sz w:val="21"/>
          <w:szCs w:val="21"/>
        </w:rPr>
        <w:t xml:space="preserve">compensatória, de até 10% sobre o valor da parcela inadimplida, para quaisquer das infrações previstas nos </w:t>
      </w:r>
      <w:r>
        <w:rPr>
          <w:rFonts w:ascii="Times New Roman" w:hAnsi="Times New Roman"/>
          <w:sz w:val="21"/>
          <w:szCs w:val="21"/>
          <w:shd w:fill="auto" w:val="clear"/>
        </w:rPr>
        <w:t>itens 4.7.1.1.1  a 4.7.1.1.12.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4.7.2.2.2.2 </w:t>
      </w:r>
      <w:r>
        <w:rPr>
          <w:rFonts w:ascii="Times New Roman" w:hAnsi="Times New Roman"/>
          <w:sz w:val="21"/>
          <w:szCs w:val="21"/>
        </w:rPr>
        <w:t>moratória, pelo atraso injustificado na execução do contrato, de até 0,5% (meio por cento) por dia de atraso injustificado sobre o valor da parcela inadimplida, até o limite de 30 (trinta) dias;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4.7.2.2.3 </w:t>
      </w:r>
      <w:r>
        <w:rPr>
          <w:rFonts w:ascii="Times New Roman" w:hAnsi="Times New Roman"/>
          <w:color w:val="000000"/>
          <w:sz w:val="21"/>
          <w:szCs w:val="21"/>
        </w:rPr>
        <w:t xml:space="preserve">Impedimento de licitar e contratar, para as infrações previstas nos itens 4.7.1.1.2  a 4.7.1.1.7, </w:t>
      </w:r>
      <w:r>
        <w:rPr>
          <w:rFonts w:eastAsia="Arial" w:ascii="Times New Roman" w:hAnsi="Times New Roman"/>
          <w:color w:val="000000"/>
          <w:sz w:val="21"/>
          <w:szCs w:val="21"/>
        </w:rPr>
        <w:t>quando não se justificar a imposição de penalidade mais grave;</w:t>
      </w:r>
    </w:p>
    <w:p>
      <w:pPr>
        <w:pStyle w:val="ListParagraph"/>
        <w:numPr>
          <w:ilvl w:val="0"/>
          <w:numId w:val="0"/>
        </w:numPr>
        <w:spacing w:lineRule="auto" w:line="276" w:before="0" w:after="12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eastAsia="Arial" w:ascii="Times New Roman" w:hAnsi="Times New Roman"/>
          <w:b/>
          <w:bCs/>
          <w:color w:val="000000"/>
          <w:sz w:val="21"/>
          <w:szCs w:val="21"/>
        </w:rPr>
        <w:t>4.7.2.2.4</w:t>
      </w:r>
      <w:r>
        <w:rPr>
          <w:rFonts w:eastAsia="Arial"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declaração de inidoneidade para licitar e contratar, para as infrações previstas nos itens 4.7.1.1.8. a 4.7.1.1.12.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4.7.3 Da Aplicação das Sanções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4.7.3.1.</w:t>
      </w:r>
      <w:r>
        <w:rPr>
          <w:rFonts w:ascii="Times New Roman" w:hAnsi="Times New Roman"/>
          <w:sz w:val="21"/>
          <w:szCs w:val="21"/>
        </w:rPr>
        <w:t xml:space="preserve"> As sanções aqui previstas são independentes entre si, podendo ser aplicadas isoladas ou, no caso das multas, cumulativamente, sem prejuízo de outras medidas cabíveis.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4.7.3.2 </w:t>
      </w:r>
      <w:r>
        <w:rPr>
          <w:rFonts w:ascii="Times New Roman" w:hAnsi="Times New Roman"/>
          <w:sz w:val="21"/>
          <w:szCs w:val="21"/>
        </w:rPr>
        <w:t>A aplicação de sanções não exime o licitante ou o contratado da obrigação de reparar os danos, perdas ou prejuízos que venha a causar ao ente público.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4.7.3.2.1</w:t>
      </w:r>
      <w:r>
        <w:rPr>
          <w:rFonts w:ascii="Times New Roman" w:hAnsi="Times New Roman"/>
          <w:sz w:val="21"/>
          <w:szCs w:val="21"/>
        </w:rPr>
        <w:t xml:space="preserve">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Arial" w:ascii="Times New Roman" w:hAnsi="Times New Roman"/>
          <w:b/>
          <w:bCs/>
          <w:sz w:val="21"/>
          <w:szCs w:val="21"/>
        </w:rPr>
        <w:t xml:space="preserve">4.7.3.3. </w:t>
      </w:r>
      <w:r>
        <w:rPr>
          <w:rFonts w:eastAsia="Arial" w:ascii="Times New Roman" w:hAnsi="Times New Roman"/>
          <w:sz w:val="21"/>
          <w:szCs w:val="21"/>
        </w:rPr>
        <w:t>A multa de mora poderá ser convertida em multa compensatória, com a aplicação cumulada de outras sanções previstas neste Edital.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Arial" w:ascii="Times New Roman" w:hAnsi="Times New Roman"/>
          <w:b/>
          <w:bCs/>
          <w:sz w:val="21"/>
          <w:szCs w:val="21"/>
        </w:rPr>
        <w:t xml:space="preserve">4.7.3.4. </w:t>
      </w:r>
      <w:r>
        <w:rPr>
          <w:rFonts w:ascii="Times New Roman" w:hAnsi="Times New Roman"/>
          <w:sz w:val="21"/>
          <w:szCs w:val="21"/>
        </w:rPr>
        <w:t>As penalidades de multa decorrentes de fatos diversos serão consideradas independentes entre si.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eastAsia="Arial" w:ascii="Times New Roman" w:hAnsi="Times New Roman"/>
          <w:b/>
          <w:bCs/>
          <w:sz w:val="21"/>
          <w:szCs w:val="21"/>
        </w:rPr>
        <w:t xml:space="preserve">4.7.3.5. </w:t>
      </w:r>
      <w:r>
        <w:rPr>
          <w:rFonts w:ascii="Times New Roman" w:hAnsi="Times New Roman"/>
          <w:sz w:val="21"/>
          <w:szCs w:val="21"/>
        </w:rPr>
        <w:t xml:space="preserve">O contrato, sem prejuízo das multas e demais cominações legais previstas no instrumento, poderá ser rescindido unilateralmente, por ato formal da Câmara Municipal, nos casos enumerados nos incisos do </w:t>
      </w:r>
      <w:r>
        <w:rPr>
          <w:rFonts w:ascii="Times New Roman" w:hAnsi="Times New Roman"/>
          <w:i/>
          <w:iCs/>
          <w:sz w:val="21"/>
          <w:szCs w:val="21"/>
        </w:rPr>
        <w:t>caput</w:t>
      </w:r>
      <w:r>
        <w:rPr>
          <w:rFonts w:ascii="Times New Roman" w:hAnsi="Times New Roman"/>
          <w:sz w:val="21"/>
          <w:szCs w:val="21"/>
        </w:rPr>
        <w:t xml:space="preserve"> do art. 137 da Lei Federal nº 14.133/2021.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4.7.3.6. </w:t>
      </w:r>
      <w:r>
        <w:rPr>
          <w:rFonts w:ascii="Times New Roman" w:hAnsi="Times New Roman"/>
          <w:sz w:val="21"/>
          <w:szCs w:val="21"/>
        </w:rPr>
        <w:t>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4.7.3.7 </w:t>
      </w:r>
      <w:r>
        <w:rPr>
          <w:rFonts w:ascii="Times New Roman" w:hAnsi="Times New Roman"/>
          <w:sz w:val="21"/>
          <w:szCs w:val="21"/>
        </w:rPr>
        <w:t>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ascii="Times New Roman" w:hAnsi="Times New Roman"/>
          <w:b/>
          <w:bCs/>
          <w:sz w:val="21"/>
          <w:szCs w:val="21"/>
        </w:rPr>
        <w:t xml:space="preserve">4.7.3.8. </w:t>
      </w:r>
      <w:r>
        <w:rPr>
          <w:rFonts w:ascii="Times New Roman" w:hAnsi="Times New Roman"/>
          <w:sz w:val="21"/>
          <w:szCs w:val="21"/>
        </w:rPr>
        <w:t>As sanções de impedimento de licitar e contratar e de declaração de inidoneidade serão publicadas no site da Câmara Municipal  (</w:t>
      </w:r>
      <w:hyperlink r:id="rId2">
        <w:r>
          <w:rPr>
            <w:rStyle w:val="Hyperlink"/>
            <w:rFonts w:ascii="Times New Roman" w:hAnsi="Times New Roman"/>
            <w:sz w:val="21"/>
            <w:szCs w:val="21"/>
          </w:rPr>
          <w:t>www.trespassos.rs.leg.br</w:t>
        </w:r>
      </w:hyperlink>
      <w:r>
        <w:rPr>
          <w:rFonts w:ascii="Times New Roman" w:hAnsi="Times New Roman"/>
          <w:sz w:val="21"/>
          <w:szCs w:val="21"/>
        </w:rPr>
        <w:t xml:space="preserve">) em ícone próprio. 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4.7.4. Da execução da garantia contratual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4.7.4.1 </w:t>
      </w:r>
      <w:r>
        <w:rPr>
          <w:rFonts w:ascii="Times New Roman" w:hAnsi="Times New Roman"/>
          <w:sz w:val="21"/>
          <w:szCs w:val="21"/>
        </w:rPr>
        <w:t xml:space="preserve">O valor da multa poderá ser descontado da garantia contratual, havendo. 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4.7.4.2 </w:t>
      </w:r>
      <w:r>
        <w:rPr>
          <w:rFonts w:ascii="Times New Roman" w:hAnsi="Times New Roman"/>
          <w:sz w:val="21"/>
          <w:szCs w:val="21"/>
        </w:rPr>
        <w:t>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4.7.4.3 </w:t>
      </w:r>
      <w:r>
        <w:rPr>
          <w:rFonts w:ascii="Times New Roman" w:hAnsi="Times New Roman"/>
          <w:sz w:val="21"/>
          <w:szCs w:val="21"/>
        </w:rPr>
        <w:t>Se os valores da garantia e das faturas forem insuficientes, fica o contratado obrigado a recolher a diferença devida, no prazo de 30 (trinta) dias, contados da comunicação oficial.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4.7.4.4 </w:t>
      </w:r>
      <w:r>
        <w:rPr>
          <w:rFonts w:ascii="Times New Roman" w:hAnsi="Times New Roman"/>
          <w:sz w:val="21"/>
          <w:szCs w:val="21"/>
        </w:rPr>
        <w:t>Esgotados o prazo elencado no item 13.4.3, para pagamento do valor devido, o débito será encaminhado para inscrição em dívida ativa tributária.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rPr/>
      </w:pPr>
      <w:r>
        <w:rPr>
          <w:rStyle w:val="Strong"/>
          <w:rFonts w:eastAsia="Calibri" w:cs="Times New Roman" w:ascii="Times New Roman" w:hAnsi="Times New Roman"/>
          <w:b/>
          <w:bCs/>
          <w:sz w:val="21"/>
          <w:szCs w:val="21"/>
          <w:lang w:val="pt-BR" w:eastAsia="ar-SA" w:bidi="ar-SA"/>
        </w:rPr>
        <w:t>4.7.4.5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1"/>
          <w:szCs w:val="21"/>
          <w:lang w:val="pt-BR" w:eastAsia="ar-SA" w:bidi="ar-SA"/>
        </w:rPr>
        <w:t xml:space="preserve"> Não havendo garantia, a multa será cientificada ao contratado para pagamento nos mesmos prazos estipulados no item 13.4.3 sob pena de inscrição em dívida ativa, após o decurso deste prazo. 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1"/>
          <w:szCs w:val="21"/>
          <w:lang w:eastAsia="en-US"/>
        </w:rPr>
        <w:t>5. ESTIMA DAS QUANTIDADES:</w:t>
      </w:r>
    </w:p>
    <w:tbl>
      <w:tblPr>
        <w:tblW w:w="9183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6"/>
        <w:gridCol w:w="3750"/>
        <w:gridCol w:w="1016"/>
        <w:gridCol w:w="2151"/>
        <w:gridCol w:w="1700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1"/>
                <w:szCs w:val="21"/>
              </w:rPr>
              <w:t>Item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Mensal R$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 R$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shd w:fill="auto" w:val="clear"/>
                <w:lang w:eastAsia="en-US"/>
              </w:rPr>
              <w:t>Contabilidade Cloud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R$ 1.490,46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R$ 8.942,76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Esocial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 570,99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R$ 3.425,94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Folha Cloud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R$ 1.117,85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R$ 6.707,10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Patrimônio Cloud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R$ 1.036,85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R$ 6.221,10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Prestação de Contas Cloud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R$ 506,20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R$ 3.037,20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Recursos Humanos Cloud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R$ 450,81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R$ 2.704,86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Transparência Cloud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R$ 1.134,05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R$ 6.804,3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Compras, Licitações e Contratos Cloud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R$ 857,85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R$ 5.147,10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Tesouraria Cloud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R$ 411,92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R$ 2.471,52</w:t>
            </w:r>
          </w:p>
        </w:tc>
      </w:tr>
      <w:tr>
        <w:trPr>
          <w:trHeight w:val="62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Provimento do Data center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06 meses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R$ 2.484,38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R$ 14.906,28</w:t>
            </w:r>
          </w:p>
        </w:tc>
      </w:tr>
      <w:tr>
        <w:trPr>
          <w:trHeight w:val="624" w:hRule="atLeast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Total: R$  60.368,16 (sessenta mil, trezentos e sessenta e oito reais e dezesseis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5.2 Serviços de Suporte Técnico: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tbl>
      <w:tblPr>
        <w:tblW w:w="9117" w:type="dxa"/>
        <w:jc w:val="left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2"/>
        <w:gridCol w:w="7204"/>
        <w:gridCol w:w="1181"/>
      </w:tblGrid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Especificações dos Serviços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Valor/Hora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7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Hora trabalhada por técnico, para serviços de atendimento técnico local na sede do município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R$ 215,05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7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Hora trabalhada por técnico, para serviços de atendimento técnico via conexão remota à distância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R$ 172,09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1"/>
          <w:szCs w:val="21"/>
          <w:lang w:eastAsia="en-US"/>
        </w:rPr>
        <w:t>6. ALTERNATIVAS DISPONÍVEIS NO MERCADO: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1"/>
          <w:szCs w:val="21"/>
        </w:rPr>
        <w:t>Para solucionar a necessidade de continuidade dos sistemas de gestão pública, utilizados pela Câmara Municipal, consideram-se as seguintes alternativas:</w:t>
      </w:r>
    </w:p>
    <w:p>
      <w:pPr>
        <w:pStyle w:val="BodyText"/>
        <w:spacing w:lineRule="auto" w:line="276"/>
        <w:jc w:val="both"/>
        <w:rPr>
          <w:rStyle w:val="Fontepargpadro"/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sz w:val="21"/>
          <w:szCs w:val="21"/>
        </w:rPr>
        <w:t>I- Não realizar a contratação imediata: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A interrupção dos sistemas atualmente em uso comprometeria o funcionamento das rotinas administrativas, contábeis, financeiras e legislativas, podendo resultar em paralisação de atividades essenciais, descumprimento de obrigações legais, riscos à integridade e segurança das informações e prejuízos à transparência pública. Dessa forma, esta alternativa se mostra inviável, diante dos riscos operacionais e institucionais envolvidos.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II-  Aguardar a conclusão de procedimento licitatório ordinário: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A realização de novo certame licitatório demanda prazos que não se mostram compatíveis com a necessidade de continuidade imediata dos serviços, podendo ocasionar descontinuidade dos sistemas, perda de dados, retrabalho e prejuízos à administração pública. Assim, esta alternativa também é considerada inviável, diante da urgência e da essencialidade dos serviços.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III- Manter a contratação da atual fornecedora dos sistemas: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1"/>
          <w:szCs w:val="21"/>
        </w:rPr>
        <w:t xml:space="preserve">Consiste na contratação transitória da empresa </w:t>
      </w:r>
      <w:r>
        <w:rPr>
          <w:rStyle w:val="Strong"/>
          <w:rFonts w:cs="Times New Roman" w:ascii="Times New Roman" w:hAnsi="Times New Roman"/>
          <w:sz w:val="21"/>
          <w:szCs w:val="21"/>
        </w:rPr>
        <w:t>DELTA SOLUÇÕES EM INFORMÁTICA LTDA</w:t>
      </w:r>
      <w:r>
        <w:rPr>
          <w:rFonts w:cs="Times New Roman" w:ascii="Times New Roman" w:hAnsi="Times New Roman"/>
          <w:sz w:val="21"/>
          <w:szCs w:val="21"/>
        </w:rPr>
        <w:t xml:space="preserve">, atual fornecedora dos sistemas de gestão pública, até a finalização do novo procedimento licitatório. 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Esta alternativa revela-se a mais adequada, por garantir a continuidade dos serviços, a preservação da integridade e segurança das informações, a estabilidade dos sistemas e a regularidade das atividades administrativas e legislativas, assegurando eficiência, economicidade e segurança jurídica durante o período de transição.</w:t>
      </w:r>
    </w:p>
    <w:p>
      <w:pPr>
        <w:pStyle w:val="BodyText"/>
        <w:spacing w:lineRule="auto" w:line="276"/>
        <w:jc w:val="both"/>
        <w:rPr>
          <w:rStyle w:val="Fontepargpadro"/>
          <w:rFonts w:ascii="Times New Roman" w:hAnsi="Times New Roman" w:cs="Times New Roman"/>
          <w:b w:val="false"/>
          <w:bCs w:val="false"/>
          <w:sz w:val="21"/>
          <w:szCs w:val="21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Fontepargpadro"/>
          <w:rFonts w:ascii="Times New Roman" w:hAnsi="Times New Roman"/>
          <w:b/>
          <w:bCs/>
          <w:sz w:val="21"/>
          <w:szCs w:val="21"/>
          <w:shd w:fill="auto" w:val="clear"/>
          <w:lang w:eastAsia="en-US"/>
        </w:rPr>
        <w:t>7. ESTIMATIVA DO VALOR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1"/>
          <w:szCs w:val="21"/>
          <w:shd w:fill="auto" w:val="clear"/>
          <w:lang w:eastAsia="en-US"/>
        </w:rPr>
        <w:t xml:space="preserve">Estima-se que o Valor Total  Máximo para contratação será de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1"/>
          <w:szCs w:val="21"/>
          <w:shd w:fill="auto" w:val="clear"/>
          <w:lang w:eastAsia="en-US"/>
        </w:rPr>
        <w:t>R$ 60.368,16 (sessenta mil, trezentos e sessenta e oito reais e dezesseis centavos).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color w:val="000000"/>
          <w:sz w:val="21"/>
          <w:szCs w:val="21"/>
          <w:highlight w:val="none"/>
          <w:shd w:fill="FF4000" w:val="clear"/>
          <w:lang w:eastAsia="en-US"/>
        </w:rPr>
      </w:pPr>
      <w:r>
        <w:rPr>
          <w:rFonts w:cs="Times New Roman" w:ascii="Times New Roman" w:hAnsi="Times New Roman"/>
          <w:color w:val="000000"/>
          <w:sz w:val="21"/>
          <w:szCs w:val="21"/>
          <w:shd w:fill="FF4000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1"/>
          <w:szCs w:val="21"/>
          <w:shd w:fill="auto" w:val="clear"/>
          <w:lang w:eastAsia="en-US"/>
        </w:rPr>
        <w:t>8. DESCRIÇÃO DA SOLUÇÃO COMO UM TODO: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  <w:t xml:space="preserve">A solução proposta consiste na contratação temporária dos sistemas de gestão pública fornecidos pela empresa </w:t>
      </w:r>
      <w:r>
        <w:rPr>
          <w:rStyle w:val="Strong"/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  <w:t>DELTA SOLUÇÕES EM INFORMÁTICA LTDA</w:t>
      </w:r>
      <w:r>
        <w:rPr>
          <w:rStyle w:val="Fontepargpadro"/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  <w:t>, atual prestadora dos serviços, com o objetivo de assegurar a continuidade das atividades administrativas, legislativas, contábeis, financeiras e de controle interno da Câmara Municipal de Vereadores de Três Passos/RS, até a finalização do novo procedimento licitatório.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b w:val="false"/>
          <w:bCs w:val="false"/>
          <w:sz w:val="21"/>
          <w:szCs w:val="21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  <w:t>A contratação abrange a disponibilização, manutenção e suporte técnico dos sistemas atualmente em uso, garantindo seu pleno funcionamento, a estabilidade operacional e a integridade das bases de dados, sem necessidade de migração ou adaptação emergencial para outros sistemas durante o período de transição. A solução preserva a compatibilidade entre os módulos, assegura a segurança das informações e evita riscos de interrupção dos serviços essenciais.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b w:val="false"/>
          <w:bCs w:val="false"/>
          <w:sz w:val="21"/>
          <w:szCs w:val="21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  <w:t>Inclui-se, ainda, o atendimento técnico necessário para correções, atualizações e esclarecimento de dúvidas, de modo a manter a eficiência operacional da Câmara e o atendimento às exigências legais, normativas e de transparência pública.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b w:val="false"/>
          <w:bCs w:val="false"/>
          <w:sz w:val="21"/>
          <w:szCs w:val="21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  <w:t>Dessa forma, a solução apresentada possibilita uma transição segura e planejada até a conclusão do novo certame licitatório, garantindo continuidade dos serviços, eficiência administrativa, economicidade e segurança jurídica, sem prejuízo ao funcionamento institucional da Câmara Municipal.</w:t>
      </w:r>
    </w:p>
    <w:p>
      <w:pPr>
        <w:pStyle w:val="Normal"/>
        <w:spacing w:lineRule="auto" w:line="276"/>
        <w:jc w:val="both"/>
        <w:rPr>
          <w:rStyle w:val="Fontepargpadro"/>
          <w:rFonts w:ascii="Times New Roman" w:hAnsi="Times New Roman"/>
          <w:b/>
          <w:bCs/>
          <w:sz w:val="21"/>
          <w:szCs w:val="21"/>
          <w:highlight w:val="none"/>
          <w:shd w:fill="FF4000" w:val="clear"/>
          <w:lang w:eastAsia="en-US"/>
        </w:rPr>
      </w:pPr>
      <w:r>
        <w:rPr>
          <w:b/>
          <w:bCs/>
          <w:sz w:val="21"/>
          <w:szCs w:val="21"/>
          <w:shd w:fill="FF4000" w:val="clear"/>
          <w:lang w:eastAsia="en-US"/>
        </w:rPr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firstLine="850" w:left="0" w:right="113"/>
        <w:jc w:val="both"/>
        <w:rPr>
          <w:rFonts w:ascii="Times New Roman" w:hAnsi="Times New Roman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1"/>
          <w:szCs w:val="21"/>
          <w:lang w:eastAsia="en-US"/>
        </w:rPr>
        <w:t xml:space="preserve">9. </w:t>
      </w:r>
      <w:r>
        <w:rPr>
          <w:rStyle w:val="Fontepargpadro"/>
          <w:b/>
          <w:bCs/>
          <w:sz w:val="21"/>
          <w:szCs w:val="21"/>
          <w:shd w:fill="auto" w:val="clear"/>
          <w:lang w:eastAsia="en-US"/>
        </w:rPr>
        <w:t>JUSTIFICATIVA P</w:t>
      </w:r>
      <w:r>
        <w:rPr>
          <w:rStyle w:val="Fontepargpadro"/>
          <w:b/>
          <w:bCs/>
          <w:sz w:val="21"/>
          <w:szCs w:val="21"/>
          <w:lang w:eastAsia="en-US"/>
        </w:rPr>
        <w:t>ARA O PARCELAMENTO OU NÃO DA CONTRATAÇÃO: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rStyle w:val="Fontepargpadro"/>
          <w:rFonts w:ascii="Times New Roman" w:hAnsi="Times New Roman" w:cs="Times New Roman"/>
          <w:b w:val="false"/>
          <w:bCs w:val="false"/>
          <w:color w:val="000000"/>
          <w:sz w:val="21"/>
          <w:szCs w:val="21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 xml:space="preserve">A presente contratação não será parcelada, sendo formalizada por meio de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>um único contrato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 xml:space="preserve"> para a manutenção e continuidade dos sistemas de gestão pública fornecidos pela empresa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>DELTA SOLUÇÕES EM INFORMÁTICA LTDA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>, atual prestadora dos serviços, em caráter transitório até a conclusão do novo certame licitatório.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color w:val="000000"/>
          <w:sz w:val="21"/>
          <w:szCs w:val="21"/>
        </w:rPr>
        <w:t>A adoção de contrato único justifica-s</w:t>
      </w: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 xml:space="preserve">e pela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>natureza integrada dos sistemas de gestão pública</w:t>
      </w: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>, os quais operam de forma interdependente, compartilhando bases de dados, rotinas e funcionalidades. O parcelamento poderia comprometer a compatibilidade técnica, a integridade das informações, a</w:t>
      </w:r>
      <w:r>
        <w:rPr>
          <w:rFonts w:cs="Times New Roman" w:ascii="Times New Roman" w:hAnsi="Times New Roman"/>
          <w:color w:val="000000"/>
          <w:sz w:val="21"/>
          <w:szCs w:val="21"/>
        </w:rPr>
        <w:t xml:space="preserve"> segurança dos dados e a continuidade dos serviços essenciais da Câmara Municipal.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  <w:t>Além disso, a unificação da contratação facilita a gestão administrativa e financeira, simplifica a fiscalização e o controle da execução contratual, bem como assegura maior eficiência operacional e segurança jurídica durante o período de transição, especialmente considerando a necessidade de continuidade dos serviços até a finalização do novo procedimento licitatório.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  <w:t>Dessa forma, a contratação por meio de contrato único mostra-se a solução mais adequada, garantindo eficiência, economicidade, continuidade dos serviços e a adequada gestão dos recursos públicos.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1"/>
          <w:szCs w:val="21"/>
          <w:shd w:fill="FFFFFF" w:val="clear"/>
          <w:lang w:eastAsia="en-US"/>
        </w:rPr>
        <w:t>10. RESULTADOS PRETENDIDOS: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55"/>
        <w:ind w:firstLine="907" w:left="0" w:right="113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1"/>
          <w:szCs w:val="21"/>
          <w:lang w:eastAsia="en-US"/>
        </w:rPr>
        <w:t>A presente contratação visa atender à necessidade emergencial de continuidade dos sistemas de gestão pública atualmente utilizados pela Câmara Municipal de Vereadores de Três Passos/RS, garantindo a regularidade das atividades administrativas, legislativas, contábeis, financeiras e de controle interno, até que se finalize o novo certame licitatório.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55"/>
        <w:ind w:firstLine="907" w:left="0" w:right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1"/>
          <w:szCs w:val="21"/>
          <w:lang w:eastAsia="en-US"/>
        </w:rPr>
        <w:t xml:space="preserve">Espera-se, com a manutenção da contratação dos sistemas fornecidos pela empresa </w:t>
      </w:r>
      <w:r>
        <w:rPr>
          <w:rStyle w:val="Strong"/>
          <w:rFonts w:cs="Times New Roman" w:ascii="Times New Roman" w:hAnsi="Times New Roman"/>
          <w:sz w:val="21"/>
          <w:szCs w:val="21"/>
          <w:lang w:eastAsia="en-US"/>
        </w:rPr>
        <w:t>DELTA SOLUÇÕES EM INFORMÁTICA LTDA</w:t>
      </w:r>
      <w:r>
        <w:rPr>
          <w:rFonts w:cs="Times New Roman" w:ascii="Times New Roman" w:hAnsi="Times New Roman"/>
          <w:sz w:val="21"/>
          <w:szCs w:val="21"/>
          <w:lang w:eastAsia="en-US"/>
        </w:rPr>
        <w:t>, assegurar o pleno funcionamento das rotinas institucionais, evitando interrupções nos serviços essenciais, preservando a integridade, a segurança e a confiabilidade das informações e bases de dados da Câmara. A continuidade dos sistemas é fundamental para o atendimento às exigências legais, à transparência pública e ao correto processamento das informações administrativas e financeiras.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55"/>
        <w:ind w:firstLine="907" w:left="0" w:right="0"/>
        <w:jc w:val="both"/>
        <w:rPr>
          <w:rFonts w:ascii="Times New Roman" w:hAnsi="Times New Roman" w:cs="Times New Roman"/>
          <w:sz w:val="21"/>
          <w:szCs w:val="21"/>
          <w:lang w:eastAsia="en-US"/>
        </w:rPr>
      </w:pPr>
      <w:r>
        <w:rPr>
          <w:rFonts w:cs="Times New Roman" w:ascii="Times New Roman" w:hAnsi="Times New Roman"/>
          <w:sz w:val="21"/>
          <w:szCs w:val="21"/>
          <w:lang w:eastAsia="en-US"/>
        </w:rPr>
        <w:t>Além disso, a contratação transitória possibilita uma transição segura e organizada até a conclusão do novo processo licitatório, evitando riscos operacionais, retrabalho, perda de dados ou prejuízos decorrentes da descontinuidade dos sistemas. O serviço também proporciona maior previsibilidade e controle administrativo, concentrando a responsabilidade em um único fornecedor durante o período, assegurando eficiência, economicidade e segurança jurídica.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55"/>
        <w:ind w:firstLine="907" w:left="0" w:right="0"/>
        <w:jc w:val="both"/>
        <w:rPr>
          <w:rFonts w:ascii="Times New Roman" w:hAnsi="Times New Roman" w:cs="Times New Roman"/>
          <w:sz w:val="21"/>
          <w:szCs w:val="21"/>
          <w:lang w:eastAsia="en-US"/>
        </w:rPr>
      </w:pPr>
      <w:r>
        <w:rPr>
          <w:rFonts w:cs="Times New Roman" w:ascii="Times New Roman" w:hAnsi="Times New Roman"/>
          <w:sz w:val="21"/>
          <w:szCs w:val="21"/>
          <w:lang w:eastAsia="en-US"/>
        </w:rPr>
        <w:t>Por fim, a manutenção dos sistemas de gestão pública permitirá o regular andamento das atividades institucionais e a adequada prestação dos serviços públicos, garantindo que a Câmara permaneça plenamente operacional até a implementação do novo contrato definitivo.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55"/>
        <w:ind w:firstLine="907" w:left="0" w:right="113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1"/>
          <w:szCs w:val="21"/>
          <w:lang w:eastAsia="en-US"/>
        </w:rPr>
        <w:t>11. PROVIDÊNCIAS PRÉVIAS AO CONTRATO: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907" w:left="0" w:right="0"/>
        <w:jc w:val="both"/>
        <w:rPr>
          <w:rFonts w:ascii="Times New Roman" w:hAnsi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  <w:t xml:space="preserve">Para a contratação dos sistemas de gestão pública da empresa </w:t>
      </w:r>
      <w:r>
        <w:rPr>
          <w:rStyle w:val="Strong"/>
          <w:rFonts w:cs="Times New Roman" w:ascii="Times New Roman" w:hAnsi="Times New Roman"/>
          <w:sz w:val="21"/>
          <w:szCs w:val="21"/>
          <w:shd w:fill="auto" w:val="clear"/>
          <w:lang w:eastAsia="en-US"/>
        </w:rPr>
        <w:t>DELTA SOLUÇÕES EM INFORMÁTICA LTDA</w:t>
      </w:r>
      <w:r>
        <w:rPr>
          <w:rStyle w:val="Strong"/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  <w:t>, atual fornecedora dos serviços, em caráter transitório até a finalização do novo certame licitatório, serão adotadas providências administrativas com o objetivo de garantir a continuidade, a segurança e a eficiência dos serviços atualmente utilizados pela Câmara Municipal de Vereadores de Três Passos/RS.</w:t>
      </w:r>
    </w:p>
    <w:p>
      <w:pPr>
        <w:pStyle w:val="BodyText"/>
        <w:suppressAutoHyphens w:val="true"/>
        <w:spacing w:lineRule="auto" w:line="276" w:before="0" w:after="283"/>
        <w:rPr>
          <w:rFonts w:ascii="Times New Roman" w:hAnsi="Times New Roman" w:cs="Times New Roman"/>
          <w:sz w:val="21"/>
          <w:szCs w:val="21"/>
          <w:lang w:eastAsia="en-US"/>
        </w:rPr>
      </w:pPr>
      <w:r>
        <w:rPr>
          <w:rFonts w:cs="Times New Roman" w:ascii="Times New Roman" w:hAnsi="Times New Roman"/>
          <w:sz w:val="21"/>
          <w:szCs w:val="21"/>
          <w:lang w:eastAsia="en-US"/>
        </w:rPr>
        <w:t>O acompanhamento e a fiscalização da execução contratual serão realizados pela Câmara Municipal, por meio de:</w:t>
      </w:r>
    </w:p>
    <w:p>
      <w:pPr>
        <w:pStyle w:val="BodyText"/>
        <w:suppressAutoHyphens w:val="true"/>
        <w:spacing w:lineRule="auto" w:line="276" w:before="0" w:after="283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Strong"/>
          <w:rFonts w:cs="Times New Roman" w:ascii="Times New Roman" w:hAnsi="Times New Roman"/>
          <w:sz w:val="21"/>
          <w:szCs w:val="21"/>
          <w:lang w:eastAsia="en-US"/>
        </w:rPr>
        <w:t>11.1. Fiscal de contratos</w:t>
      </w:r>
      <w:r>
        <w:rPr>
          <w:rFonts w:cs="Times New Roman" w:ascii="Times New Roman" w:hAnsi="Times New Roman"/>
          <w:sz w:val="21"/>
          <w:szCs w:val="21"/>
          <w:lang w:eastAsia="en-US"/>
        </w:rPr>
        <w:t xml:space="preserve"> – Servidor designado oficialmente, conforme exigência legal, responsável pela fiscalização administrativa e operacional do contrato, incluindo:</w:t>
        <w:br/>
        <w:t>• Verificação do cumprimento das cláusulas contratuais;</w:t>
        <w:br/>
        <w:t>• Controle de prazos, níveis de serviço e pagamentos;</w:t>
        <w:br/>
        <w:t>• Acompanhamento do funcionamento dos sistemas contratados;</w:t>
        <w:br/>
        <w:t>• Elaboração de relatórios de execução e registros de ocorrências;</w:t>
        <w:br/>
        <w:t>• Verificação da prestação do suporte técnico, manutenção e atendimento às demandas da Câmara.</w:t>
      </w:r>
    </w:p>
    <w:p>
      <w:pPr>
        <w:pStyle w:val="BodyText"/>
        <w:suppressAutoHyphens w:val="true"/>
        <w:spacing w:lineRule="auto" w:line="276" w:before="0" w:after="283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Strong"/>
          <w:rFonts w:cs="Times New Roman" w:ascii="Times New Roman" w:hAnsi="Times New Roman"/>
          <w:sz w:val="21"/>
          <w:szCs w:val="21"/>
          <w:lang w:eastAsia="en-US"/>
        </w:rPr>
        <w:t>11.2. Apoio técnico</w:t>
      </w:r>
      <w:r>
        <w:rPr>
          <w:rFonts w:cs="Times New Roman" w:ascii="Times New Roman" w:hAnsi="Times New Roman"/>
          <w:sz w:val="21"/>
          <w:szCs w:val="21"/>
          <w:lang w:eastAsia="en-US"/>
        </w:rPr>
        <w:t xml:space="preserve"> – servidor ou profissional da área de tecnologia da informação, quando necessário, que auxiliará o fiscal de contratos na análise dos aspectos técnicos da contratação, incluindo:</w:t>
        <w:br/>
        <w:t>• Conferência da documentação da empresa (habilitação jurídica, fiscal e técnica);</w:t>
        <w:br/>
        <w:t>• Verificação da compatibilidade dos sistemas com as necessidades administrativas e operacionais da Câmara;</w:t>
        <w:br/>
        <w:t>• Apoio na avaliação da continuidade, estabilidade e segurança dos sistemas em uso.</w:t>
      </w:r>
    </w:p>
    <w:p>
      <w:pPr>
        <w:pStyle w:val="BodyText"/>
        <w:suppressAutoHyphens w:val="true"/>
        <w:spacing w:lineRule="auto" w:line="276" w:before="0" w:after="283"/>
        <w:rPr>
          <w:rFonts w:ascii="Times New Roman" w:hAnsi="Times New Roman" w:cs="Times New Roman"/>
          <w:sz w:val="21"/>
          <w:szCs w:val="21"/>
          <w:lang w:eastAsia="en-US"/>
        </w:rPr>
      </w:pPr>
      <w:r>
        <w:rPr>
          <w:rFonts w:cs="Times New Roman" w:ascii="Times New Roman" w:hAnsi="Times New Roman"/>
          <w:sz w:val="21"/>
          <w:szCs w:val="21"/>
          <w:lang w:eastAsia="en-US"/>
        </w:rPr>
        <w:t>Ressalta-se que a atuação do fiscal de contratos e do apoio técnico não exime a empresa contratada de manter equipe técnica qualificada, garantir a regularidade dos sistemas, assegurar a integridade dos dados e cumprir todas as obrigações contratuais e normativas aplicáveis.</w:t>
      </w:r>
    </w:p>
    <w:p>
      <w:pPr>
        <w:pStyle w:val="BodyText"/>
        <w:suppressAutoHyphens w:val="true"/>
        <w:spacing w:lineRule="auto" w:line="276" w:before="0" w:after="283"/>
        <w:rPr>
          <w:rFonts w:ascii="Times New Roman" w:hAnsi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  <w:lang w:eastAsia="en-US"/>
        </w:rPr>
        <w:t>Essas providências visam assegurar a continuidade dos serviços de gestão pública, evitando prejuízos às atividades legislativas e administrativas da Câmara, até a conclusão do novo procedimento licitatório.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964" w:left="0" w:right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1"/>
          <w:szCs w:val="21"/>
          <w:shd w:fill="auto" w:val="clear"/>
          <w:lang w:eastAsia="en-US"/>
        </w:rPr>
        <w:t xml:space="preserve">12. </w:t>
      </w:r>
      <w:r>
        <w:rPr>
          <w:rStyle w:val="Fontepargpadro"/>
          <w:b/>
          <w:bCs/>
          <w:sz w:val="21"/>
          <w:szCs w:val="21"/>
          <w:shd w:fill="auto" w:val="clear"/>
          <w:lang w:eastAsia="en-US"/>
        </w:rPr>
        <w:t>CONTRATAÇÕES CORRELATAS E/OU INTERDEPENDENTES: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907" w:left="0" w:right="0"/>
        <w:jc w:val="both"/>
        <w:rPr/>
      </w:pPr>
      <w:r>
        <w:rPr>
          <w:rStyle w:val="Fontepargpadro"/>
          <w:rFonts w:cs="Times New Roman" w:ascii="Times New Roman" w:hAnsi="Times New Roman"/>
          <w:sz w:val="21"/>
          <w:szCs w:val="21"/>
        </w:rPr>
        <w:t xml:space="preserve">A presente contratação da empresa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1"/>
          <w:szCs w:val="21"/>
          <w:lang w:eastAsia="en-US"/>
        </w:rPr>
        <w:t xml:space="preserve">DELTA SOLUÇÕES EM INFORMÁTICA LTDA </w:t>
      </w:r>
      <w:r>
        <w:rPr>
          <w:rStyle w:val="Fontepargpadro"/>
          <w:rFonts w:cs="Times New Roman" w:ascii="Times New Roman" w:hAnsi="Times New Roman"/>
          <w:sz w:val="21"/>
          <w:szCs w:val="21"/>
        </w:rPr>
        <w:t xml:space="preserve">é autônoma e voltada especificamente aos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1"/>
          <w:szCs w:val="21"/>
          <w:lang w:eastAsia="en-US"/>
        </w:rPr>
        <w:t>sistemas de gestão pública.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  <w:highlight w:val="none"/>
          <w:shd w:fill="auto" w:val="clear"/>
          <w:lang w:eastAsia="en-US"/>
        </w:rPr>
      </w:pPr>
      <w:r>
        <w:rPr>
          <w:sz w:val="21"/>
          <w:szCs w:val="21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1"/>
          <w:szCs w:val="21"/>
          <w:shd w:fill="FFFFFF" w:val="clear"/>
          <w:lang w:eastAsia="en-US"/>
        </w:rPr>
        <w:t xml:space="preserve">13. </w:t>
      </w:r>
      <w:r>
        <w:rPr>
          <w:rStyle w:val="Fontepargpadro"/>
          <w:b/>
          <w:bCs/>
          <w:sz w:val="21"/>
          <w:szCs w:val="21"/>
          <w:shd w:fill="FFFFFF" w:val="clear"/>
          <w:lang w:eastAsia="en-US"/>
        </w:rPr>
        <w:t>POSSÍVEIS IMPACTOS AMBIENTAIS: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907" w:left="0" w:right="0"/>
        <w:jc w:val="both"/>
        <w:rPr>
          <w:rFonts w:ascii="Times New Roman" w:hAnsi="Times New Roman"/>
        </w:rPr>
      </w:pPr>
      <w:r>
        <w:rPr>
          <w:rStyle w:val="Fontepargpadro"/>
          <w:rFonts w:cs="Times New Roman" w:ascii="Times New Roman" w:hAnsi="Times New Roman"/>
          <w:b w:val="false"/>
          <w:bCs w:val="false"/>
          <w:sz w:val="21"/>
          <w:szCs w:val="21"/>
          <w:shd w:fill="FFFFFF" w:val="clear"/>
          <w:lang w:eastAsia="en-US"/>
        </w:rPr>
        <w:t xml:space="preserve">A contratação  de sistemas de informática não apresenta impactos ambientais significativos, uma vez que se trata de serviços de natureza predominantemente administrativa e tecnológica, realizados em ambiente interno. Eventuais impactos ambientais restringem-se, principalmente, ao consumo de energia elétrica necessário para o funcionamento dos equipamentos e sistemas, bem como à eventual utilização de materiais de escritório em volume reduzido. A execução do objeto deverá priorizar o uso racional de recursos, a otimização dos sistemas para reduzir o consumo energético e a adoção de boas práticas de sustentabilidade, utilizando, sempre que possível, a infraestrutura tecnológica já disponível na Câmara, de modo a garantir a compatibilidade da contratação com a preservação do meio ambiente e com as normas de sustentabilidade aplicáveis à Administração Pública. 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907" w:left="0" w:right="0"/>
        <w:jc w:val="both"/>
        <w:rPr>
          <w:rFonts w:ascii="Times New Roman" w:hAnsi="Times New Roman"/>
          <w:b w:val="false"/>
          <w:bCs w:val="false"/>
          <w:sz w:val="21"/>
          <w:szCs w:val="21"/>
          <w:shd w:fill="FFFFFF" w:val="clear"/>
        </w:rPr>
      </w:pPr>
      <w:r>
        <w:rPr>
          <w:b w:val="false"/>
          <w:bCs w:val="false"/>
          <w:sz w:val="21"/>
          <w:szCs w:val="21"/>
          <w:shd w:fill="FFFFFF" w:val="clear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1"/>
          <w:szCs w:val="21"/>
          <w:lang w:eastAsia="en-US"/>
        </w:rPr>
        <w:t xml:space="preserve">14. </w:t>
      </w:r>
      <w:r>
        <w:rPr>
          <w:rStyle w:val="Fontepargpadro"/>
          <w:b/>
          <w:bCs/>
          <w:sz w:val="21"/>
          <w:szCs w:val="21"/>
          <w:lang w:eastAsia="en-US"/>
        </w:rPr>
        <w:t>DECLARAÇÃO DE VIABILIDADE: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/>
      </w:pPr>
      <w:r>
        <w:rPr>
          <w:sz w:val="21"/>
          <w:szCs w:val="21"/>
          <w:lang w:val="pt-BR" w:eastAsia="pt-BR" w:bidi="ar-SA"/>
        </w:rPr>
        <w:t>Com base na justificativa, nas especificações técnicas constantes neste Estudo Técnico Preliminar e seus anexos e considerando a existência de planejamento orçamentário para subsidiar esta contratação, entende-se que a presente contrata</w:t>
      </w:r>
      <w:r>
        <w:rPr>
          <w:b w:val="false"/>
          <w:bCs w:val="false"/>
          <w:sz w:val="21"/>
          <w:szCs w:val="21"/>
          <w:lang w:val="pt-BR" w:eastAsia="pt-BR" w:bidi="ar-SA"/>
        </w:rPr>
        <w:t xml:space="preserve">ção  é viável e constitui a </w:t>
      </w:r>
      <w:r>
        <w:rPr>
          <w:rStyle w:val="Strong"/>
          <w:b w:val="false"/>
          <w:bCs w:val="false"/>
          <w:sz w:val="21"/>
          <w:szCs w:val="21"/>
          <w:lang w:val="pt-BR" w:eastAsia="pt-BR" w:bidi="ar-SA"/>
        </w:rPr>
        <w:t>melhor solução para atender à necessidade emergencial desta Casa Legislativa</w:t>
      </w:r>
      <w:r>
        <w:rPr>
          <w:b w:val="false"/>
          <w:bCs w:val="false"/>
          <w:sz w:val="21"/>
          <w:szCs w:val="21"/>
          <w:lang w:val="pt-BR" w:eastAsia="pt-BR" w:bidi="ar-SA"/>
        </w:rPr>
        <w:t xml:space="preserve">, </w:t>
      </w:r>
      <w:r>
        <w:rPr>
          <w:sz w:val="21"/>
          <w:szCs w:val="21"/>
          <w:lang w:val="pt-BR" w:eastAsia="pt-BR" w:bidi="ar-SA"/>
        </w:rPr>
        <w:t xml:space="preserve">garantindo segurança, qualidade da execução e conformidade com os padrões de qualidade, bem como observando os preços de mercado. 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color w:val="111111"/>
          <w:sz w:val="21"/>
          <w:szCs w:val="21"/>
          <w:shd w:fill="auto" w:val="clear"/>
        </w:rPr>
      </w:pPr>
      <w:r>
        <w:rPr>
          <w:b w:val="false"/>
          <w:bCs w:val="false"/>
          <w:color w:val="111111"/>
          <w:sz w:val="21"/>
          <w:szCs w:val="21"/>
          <w:shd w:fill="auto" w:val="clear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color w:val="111111"/>
          <w:sz w:val="21"/>
          <w:szCs w:val="21"/>
          <w:shd w:fill="auto" w:val="clear"/>
        </w:rPr>
      </w:pPr>
      <w:r>
        <w:rPr>
          <w:b w:val="false"/>
          <w:bCs w:val="false"/>
          <w:color w:val="111111"/>
          <w:sz w:val="21"/>
          <w:szCs w:val="21"/>
          <w:shd w:fill="auto" w:val="clear"/>
        </w:rPr>
        <w:t>Três Passos, 05 de janeiro de 2026.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1"/>
          <w:szCs w:val="21"/>
          <w:highlight w:val="none"/>
          <w:shd w:fill="auto" w:val="clear"/>
        </w:rPr>
      </w:pPr>
      <w:r>
        <w:rPr>
          <w:sz w:val="21"/>
          <w:szCs w:val="21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eastAsia="Calibri" w:cs="0"/>
          <w:b w:val="false"/>
          <w:bCs w:val="false"/>
          <w:i w:val="false"/>
          <w:i w:val="false"/>
          <w:iCs w:val="false"/>
          <w:color w:val="111111"/>
          <w:sz w:val="21"/>
          <w:szCs w:val="21"/>
          <w:shd w:fill="auto" w:val="clear"/>
          <w:lang w:eastAsia="en-US"/>
        </w:rPr>
      </w:pPr>
      <w:r>
        <w:rPr>
          <w:rFonts w:eastAsia="Calibri" w:cs="0"/>
          <w:b w:val="false"/>
          <w:bCs w:val="false"/>
          <w:i w:val="false"/>
          <w:iCs w:val="false"/>
          <w:color w:val="111111"/>
          <w:sz w:val="21"/>
          <w:szCs w:val="21"/>
          <w:shd w:fill="auto" w:val="clear"/>
          <w:lang w:eastAsia="en-US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eastAsia="Calibri" w:cs="0"/>
          <w:b w:val="false"/>
          <w:bCs w:val="false"/>
          <w:i w:val="false"/>
          <w:i w:val="false"/>
          <w:iCs w:val="false"/>
          <w:color w:val="111111"/>
          <w:sz w:val="21"/>
          <w:szCs w:val="21"/>
          <w:shd w:fill="auto" w:val="clear"/>
          <w:lang w:eastAsia="en-US"/>
        </w:rPr>
      </w:pPr>
      <w:r>
        <w:rPr>
          <w:rFonts w:eastAsia="Calibri" w:cs="0"/>
          <w:b w:val="false"/>
          <w:bCs w:val="false"/>
          <w:i w:val="false"/>
          <w:iCs w:val="false"/>
          <w:color w:val="111111"/>
          <w:sz w:val="21"/>
          <w:szCs w:val="21"/>
          <w:shd w:fill="auto" w:val="clear"/>
          <w:lang w:eastAsia="en-US"/>
        </w:rPr>
        <w:t>__________________________________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 w:cs="0"/>
          <w:b w:val="false"/>
          <w:bCs w:val="false"/>
          <w:i w:val="false"/>
          <w:iCs w:val="false"/>
          <w:color w:val="000000"/>
          <w:sz w:val="21"/>
          <w:szCs w:val="21"/>
          <w:shd w:fill="auto" w:val="clear"/>
          <w:lang w:eastAsia="en-US"/>
        </w:rPr>
        <w:t>Emanuelle Cavalcante Carvalho Petrazzini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 w:cs="0"/>
          <w:i w:val="false"/>
          <w:iCs w:val="false"/>
          <w:color w:val="000000"/>
          <w:sz w:val="21"/>
          <w:szCs w:val="21"/>
          <w:lang w:eastAsia="en-US"/>
        </w:rPr>
        <w:t>DIRETORA GERAL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eastAsia="Calibri" w:cs="0"/>
          <w:i w:val="false"/>
          <w:iCs w:val="false"/>
          <w:color w:val="000000"/>
          <w:sz w:val="21"/>
          <w:szCs w:val="21"/>
          <w:lang w:eastAsia="en-US"/>
        </w:rPr>
        <w:t>(Matrícula 177)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VIABILIDADE DECLARADA PELA AUTORIDADE SUPERIOR: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>________________________________</w:t>
      </w:r>
    </w:p>
    <w:p>
      <w:pPr>
        <w:pStyle w:val="ListParagraph"/>
        <w:spacing w:lineRule="auto" w:line="276"/>
        <w:ind w:hanging="0"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Maria Helena Gehlen Krummenauer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>
      <w:pPr>
        <w:pStyle w:val="ListParagraph"/>
        <w:spacing w:lineRule="auto" w:line="276" w:before="0" w:after="200"/>
        <w:ind w:hanging="0" w:left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PRESIDENTE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21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11">
    <w:name w:val="Cabeçalho e rodapé211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abealhoerodap141">
    <w:name w:val="Cabeçalho e rodapé141"/>
    <w:basedOn w:val="Normal"/>
    <w:qFormat/>
    <w:pPr/>
    <w:rPr/>
  </w:style>
  <w:style w:type="paragraph" w:styleId="Cabealhoerodap131">
    <w:name w:val="Cabeçalho e rodapé131"/>
    <w:basedOn w:val="Normal"/>
    <w:qFormat/>
    <w:pPr/>
    <w:rPr/>
  </w:style>
  <w:style w:type="paragraph" w:styleId="Cabealhoerodap121">
    <w:name w:val="Cabeçalho e rodapé121"/>
    <w:basedOn w:val="Normal"/>
    <w:qFormat/>
    <w:pPr/>
    <w:rPr/>
  </w:style>
  <w:style w:type="paragraph" w:styleId="Cabealhoerodap111">
    <w:name w:val="Cabeçalho e rodapé111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51">
    <w:name w:val="Cabeçalho e rodapé151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espassos.rs.gov.b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Application>LibreOffice/25.2.7.2$Windows_X86_64 LibreOffice_project/5cbfd1ab6520636bb5f7b99185aa69bd7456825d</Application>
  <AppVersion>15.0000</AppVersion>
  <Pages>8</Pages>
  <Words>3520</Words>
  <Characters>21087</Characters>
  <CharactersWithSpaces>24510</CharactersWithSpaces>
  <Paragraphs>209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2026-01-06T13:27:44Z</cp:lastPrinted>
  <dcterms:modified xsi:type="dcterms:W3CDTF">2026-01-06T14:42:18Z</dcterms:modified>
  <cp:revision>147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