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b/>
          <w:bCs/>
          <w:sz w:val="28"/>
          <w:szCs w:val="28"/>
        </w:rPr>
        <w:t xml:space="preserve">ESTUDO TÉCNICO PRELIMINAR </w:t>
      </w:r>
      <w:r>
        <w:rPr>
          <w:b/>
          <w:bCs/>
          <w:color w:val="000000"/>
          <w:sz w:val="28"/>
          <w:szCs w:val="28"/>
        </w:rPr>
        <w:t>Nº 0</w:t>
      </w:r>
      <w:r>
        <w:rPr>
          <w:b/>
          <w:bCs/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>/20</w:t>
      </w:r>
      <w:r>
        <w:rPr>
          <w:b/>
          <w:bCs/>
          <w:sz w:val="28"/>
          <w:szCs w:val="28"/>
        </w:rPr>
        <w:t>26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lineRule="auto" w:line="276"/>
        <w:jc w:val="both"/>
        <w:rPr/>
      </w:pPr>
      <w:r>
        <w:rPr>
          <w:b/>
          <w:bCs/>
          <w:color w:val="000000"/>
        </w:rPr>
        <w:t>PROCESSO ADMINISTRATIVO N° 0</w:t>
      </w:r>
      <w:r>
        <w:rPr>
          <w:b/>
          <w:bCs/>
          <w:color w:val="000000"/>
        </w:rPr>
        <w:t>3</w:t>
      </w:r>
      <w:r>
        <w:rPr>
          <w:b/>
          <w:bCs/>
          <w:color w:val="000000"/>
        </w:rPr>
        <w:t>/2026</w:t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color w:val="000000"/>
        </w:rPr>
        <w:t xml:space="preserve">OBJETO DA CONTRATAÇÃO: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CONTRATAÇÃO DE EMPRESA DO RAMO PERTINENTE PARA AQUISIÇÃO DE LANCHES PARA OS SERVIDORES QUE TRABALHAM EM REUNIÕES, SESSÕES E DEMAIS EVENTOS APÓS O EXPEDIENTE NORMAL DA CÂMARA DE VEREADORES DE TRÊS PASSOS-RS.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lang w:eastAsia="en-US"/>
        </w:rPr>
      </w:pPr>
      <w:r>
        <w:rPr>
          <w:b/>
          <w:bCs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DESCRIÇÃO DA NECESSIDADE: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A presente contratação se destina a compra de lanches para os servidores que trabalham em reuniões, sessões e demais eventos realizadas após o horário regular de expediente da Câmara Municipal de Três Passos/RS, com o objetivo de assegurar condições adequadas de trabalho, conforto e bem-estar durante o desempenho das atividades de apoio aos trabalhos legislativos. </w:t>
      </w:r>
    </w:p>
    <w:p>
      <w:pPr>
        <w:pStyle w:val="Normal"/>
        <w:spacing w:lineRule="auto" w:line="276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Fontepargpadro"/>
          <w:b/>
          <w:bCs/>
          <w:lang w:eastAsia="en-US"/>
        </w:rPr>
        <w:t>ALINHAMENTO ENTRE A CONTRATAÇÃO E O PLANEJAMENTO: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>O objeto da contratação se encontra descrito no Plano Anual de Contratações – PAC.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4"/>
          <w:szCs w:val="24"/>
          <w:lang w:eastAsia="en-US"/>
        </w:rPr>
        <w:t xml:space="preserve">3. </w:t>
      </w:r>
      <w:r>
        <w:rPr>
          <w:rStyle w:val="Fontepargpadro"/>
          <w:b/>
          <w:bCs/>
          <w:sz w:val="24"/>
          <w:szCs w:val="24"/>
          <w:lang w:eastAsia="en-US"/>
        </w:rPr>
        <w:t>DESCRIÇÃO DOS REQUISITOS DA CONTRATAÇÃO: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3.1 </w:t>
      </w:r>
      <w:r>
        <w:rPr>
          <w:rFonts w:eastAsia="Calibri" w:cs="Times New Roman" w:ascii="Times New Roman" w:hAnsi="Times New Roman"/>
          <w:sz w:val="24"/>
          <w:szCs w:val="24"/>
          <w:lang w:val="pt-BR" w:eastAsia="ar-SA" w:bidi="ar-SA"/>
        </w:rPr>
        <w:t>A empresa contratada deverá realizar a entrega dos lanches diretamente na sede da Câmara Municipal de Vereadores de Três Passos-RS, localizada na Rua Salgado Filho, n° 79, Centro, Três Passos-RS, estando incluídos no preço contratado todos os custos com transporte, manuseio, embalagem e demais encargos necessários para o fornecimento integral do objeto.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pt-BR" w:eastAsia="ar-SA" w:bidi="ar-SA"/>
        </w:rPr>
        <w:t>3.2</w:t>
      </w: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 Os lanches a serem fornecidos devem atender aos padrões de qualidade alimentar, garantindo que os produtos sejam frescos e adequados para consumo. Além disso, devem ser preparados e transportados de acordo com as normas sanitárias e de higiene, respeitando as condições de segurança alimentar. 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 w:eastAsia="ar-SA" w:bidi="ar-SA"/>
        </w:rPr>
        <w:t>3.3 A empresa contratada deve garantir a entrega pontual dos lanches, até as 18h, sem prejuízo à continuidade das atividades durante as sessões. A regularidade no fornecimento deve ser mantida ao longo do ano, conforme a demanda definida. A entrega ocorrerá semanalmente, nas segundas-feiras, e em eventuais solenidades ou reuniões extraordinárias.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0"/>
        <w:ind w:hanging="0" w:left="0" w:right="0"/>
        <w:contextualSpacing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 w:eastAsia="ar-SA" w:bidi="ar-SA"/>
        </w:rPr>
        <w:t xml:space="preserve">3.4 A Câmara Municipal de Vereadores informará à empresa contratada, até as 15h do dia do evento, a quantidade necessária de sanduíches para cada ocasião, de acordo com a demanda especificada. </w:t>
      </w:r>
    </w:p>
    <w:p>
      <w:pPr>
        <w:pStyle w:val="BodyText"/>
        <w:suppressAutoHyphens w:val="true"/>
        <w:spacing w:lineRule="auto" w:line="276" w:before="0" w:after="0"/>
        <w:contextualSpacing/>
        <w:rPr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3.5. 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A contratante se reserva o direito de recusar, total ou parcialmente, os itens entregues que não atendam aos requisitos técnicos, qualitativos ou dimensionais especificados, podendo, em caso de reiterado descumprimento das condições pactuadas, rescindir o contrato.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4. </w:t>
      </w:r>
      <w:r>
        <w:rPr>
          <w:rStyle w:val="Fontepargpadro"/>
          <w:b/>
          <w:bCs/>
          <w:lang w:eastAsia="en-US"/>
        </w:rPr>
        <w:t>ESTIMA DAS QUANTIDADES:</w:t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58"/>
        <w:gridCol w:w="1482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lineRule="auto" w:line="276" w:before="0" w:after="0"/>
              <w:ind w:hanging="0" w:left="720"/>
              <w:contextualSpacing/>
              <w:jc w:val="both"/>
              <w:rPr/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  <w:shd w:fill="auto" w:val="clear"/>
              </w:rPr>
              <w:t>MATERIAIS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0"/>
                <w:szCs w:val="20"/>
                <w:shd w:fill="auto" w:val="clear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QUANT.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UNIT.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  <w:shd w:fill="auto" w:val="clear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Sanduíche feito com pão francês (cacetinho), contendo: maionese, presunto, queijo, alface, tomate e pepino.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pt-BR" w:eastAsia="en-US" w:bidi="ar-SA"/>
              </w:rPr>
              <w:t>35 unid.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R$ 9,97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R$ 348,95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02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Sanduíche feito com pão francês (cacetinho), contendo: maionese, frango, queijo, alface e tomate.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35 unid.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R$ 10,96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R$ 383,60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03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sz w:val="20"/>
                <w:szCs w:val="2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shd w:fill="auto" w:val="clear"/>
                <w:em w:val="none"/>
              </w:rPr>
              <w:t>Pão de queijo pequeno – aproximadamente 40g.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200 unid.</w:t>
            </w:r>
          </w:p>
        </w:tc>
        <w:tc>
          <w:tcPr>
            <w:tcW w:w="13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R$ 2,18</w:t>
            </w:r>
          </w:p>
        </w:tc>
        <w:tc>
          <w:tcPr>
            <w:tcW w:w="14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57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fill="auto" w:val="clear"/>
              </w:rPr>
              <w:t>R$ 436,00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uto" w:line="276" w:before="0" w:after="0"/>
              <w:ind w:hanging="0" w:left="0" w:right="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Valor Total Máximo R$ 1.168,55 (Hum mil, cento e sessenta e oito reais e cinquenta e cinco centavos)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lineRule="auto" w:line="276" w:before="0" w:after="0"/>
        <w:ind w:hanging="0" w:left="0" w:right="0"/>
        <w:jc w:val="both"/>
        <w:rPr/>
      </w:pPr>
      <w:r>
        <w:rPr>
          <w:i w:val="false"/>
          <w:iCs w:val="false"/>
          <w:color w:val="000000"/>
          <w:sz w:val="22"/>
          <w:szCs w:val="22"/>
        </w:rPr>
        <w:t>Observação: Dentro do valor contrato deverá estar incluído a entrega dos produtos no endereço da Câmara Municipal de Vereadores: Rua Salgado Filho n° 79, Centro, Três Passos-RS.</w:t>
      </w:r>
    </w:p>
    <w:p>
      <w:pPr>
        <w:pStyle w:val="Normal"/>
        <w:spacing w:lineRule="auto" w:line="276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5. </w:t>
      </w:r>
      <w:r>
        <w:rPr>
          <w:rStyle w:val="Fontepargpadro"/>
          <w:b/>
          <w:bCs/>
          <w:lang w:eastAsia="en-US"/>
        </w:rPr>
        <w:t>ALTERNATIVAS DISPONÍVEIS NO MERCADO: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>Conforme pesquisa realizada no mercado, as soluções disponíveis para necessidade são: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I. </w:t>
      </w:r>
      <w:r>
        <w:rPr>
          <w:rStyle w:val="Fontepargpadro"/>
        </w:rPr>
        <w:t xml:space="preserve">Aquisição de lanches já preparados e embalados, entregues conforme a quantidade e horário estabelecido, prontos para consumo imediato. 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II. </w:t>
      </w:r>
      <w:r>
        <w:rPr>
          <w:rStyle w:val="Fontepargpadro"/>
        </w:rPr>
        <w:t xml:space="preserve">Compra de ingredientes básicos para a preparação dos lanches no local, sem a necessidade de um preparo especializado, com a responsabilidade de montagem pela equipe. </w:t>
      </w:r>
    </w:p>
    <w:p>
      <w:pPr>
        <w:pStyle w:val="Normal"/>
        <w:spacing w:lineRule="auto" w:line="276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6. </w:t>
      </w:r>
      <w:r>
        <w:rPr>
          <w:rStyle w:val="Fontepargpadro"/>
          <w:b/>
          <w:bCs/>
          <w:lang w:eastAsia="en-US"/>
        </w:rPr>
        <w:t>ESTIMATIVA DO VALOR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>Estima-se que para a contratação desejada, o valor total da contratação será de</w:t>
      </w:r>
      <w:r>
        <w:rPr>
          <w:rStyle w:val="Fontepargpadro"/>
          <w:sz w:val="24"/>
          <w:szCs w:val="24"/>
          <w:lang w:eastAsia="en-US"/>
        </w:rPr>
        <w:t xml:space="preserve"> </w:t>
      </w:r>
      <w:r>
        <w:rPr>
          <w:rStyle w:val="Fontepargpadro"/>
          <w:b/>
          <w:bCs/>
          <w:sz w:val="24"/>
          <w:szCs w:val="24"/>
          <w:shd w:fill="auto" w:val="clear"/>
          <w:lang w:eastAsia="en-US"/>
        </w:rPr>
        <w:t>R$ 1.168,55 (Hum mil, cento e sessenta e oito reais e cinquenta e cinco centavos)</w:t>
      </w:r>
      <w:r>
        <w:rPr>
          <w:rStyle w:val="Fontepargpadro"/>
          <w:b/>
          <w:bCs/>
          <w:color w:val="000000"/>
          <w:lang w:eastAsia="en-US"/>
        </w:rPr>
        <w:t xml:space="preserve"> </w:t>
      </w:r>
      <w:r>
        <w:rPr>
          <w:rStyle w:val="Fontepargpadro"/>
          <w:b w:val="false"/>
          <w:bCs w:val="false"/>
          <w:color w:val="000000"/>
          <w:lang w:eastAsia="en-US"/>
        </w:rPr>
        <w:t>conforme pesquisa realizada no Sistema Licitacon-RS e com fornecedores locais.</w:t>
      </w:r>
    </w:p>
    <w:p>
      <w:pPr>
        <w:pStyle w:val="BodyText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A elaboração da estimativa observou os critérios estabelecidos na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Resolução de Mesa nº 7, de 12 de janeiro de 2024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, tendo como base na seguinte fonte: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hanging="283" w:left="709"/>
        <w:jc w:val="both"/>
        <w:rPr/>
      </w:pP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Sistema Licitacon-RS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 xml:space="preserve"> – pesquisa realizada conforme o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art. 1º, inciso I, da Resolução nº 07/2024</w:t>
      </w:r>
      <w:r>
        <w:rPr>
          <w:rFonts w:cs="Times New Roman" w:ascii="Times New Roman" w:hAnsi="Times New Roman"/>
          <w:color w:val="000000"/>
          <w:sz w:val="24"/>
          <w:szCs w:val="24"/>
          <w:lang w:eastAsia="en-US"/>
        </w:rPr>
        <w:t>, considerando contratações recentes e semelhantes para subsidiar a composição do preço estimado;</w:t>
      </w:r>
    </w:p>
    <w:p>
      <w:pPr>
        <w:pStyle w:val="BodyText"/>
        <w:numPr>
          <w:ilvl w:val="0"/>
          <w:numId w:val="0"/>
        </w:numPr>
        <w:spacing w:lineRule="auto" w:line="276" w:before="0" w:after="0"/>
        <w:ind w:hanging="0" w:left="0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 xml:space="preserve">A metodologia aplicada consistiu na </w:t>
      </w:r>
      <w:r>
        <w:rPr>
          <w:rStyle w:val="Strong"/>
          <w:rFonts w:cs="Times New Roman" w:ascii="Times New Roman" w:hAnsi="Times New Roman"/>
          <w:color w:val="000000"/>
          <w:sz w:val="24"/>
          <w:szCs w:val="24"/>
          <w:lang w:eastAsia="en-US"/>
        </w:rPr>
        <w:t>média aritmética simples das propostas válidas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en-US"/>
        </w:rPr>
        <w:t>, em conformidade com o disposto no § 3º do art. 1º da Resolução de Mesa nº 7/2024.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7.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BodyText"/>
        <w:bidi w:val="0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lang w:eastAsia="en-US"/>
        </w:rPr>
        <w:t xml:space="preserve">A solução proposta consiste na aquisição de lanches destinados aos servidores que atuam </w:t>
      </w:r>
      <w:r>
        <w:rPr>
          <w:rStyle w:val="Strong"/>
          <w:rFonts w:cs="Times New Roman" w:ascii="Times New Roman" w:hAnsi="Times New Roman"/>
          <w:lang w:eastAsia="en-US"/>
        </w:rPr>
        <w:t xml:space="preserve"> durante as sessões</w:t>
      </w:r>
      <w:r>
        <w:rPr>
          <w:rStyle w:val="Fontepargpadro"/>
          <w:rFonts w:cs="Times New Roman" w:ascii="Times New Roman" w:hAnsi="Times New Roman"/>
          <w:lang w:eastAsia="en-US"/>
        </w:rPr>
        <w:t xml:space="preserve"> realizadas após o horário regular de expediente, de modo a atender, de forma contínua e planejada, a demanda do Poder Legislativo do Município de Três Passos ao longo do período de um ano.</w:t>
      </w:r>
    </w:p>
    <w:p>
      <w:pPr>
        <w:pStyle w:val="BodyText"/>
        <w:bidi w:val="0"/>
        <w:spacing w:lineRule="auto" w:line="276"/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A adoção dessa solução assegura condições adequadas de trabalho aos servidores envolvidos, contribuindo para a regularidade, a eficiência e o adequado apoio ao desenvolvimento das atividades legislativas.</w:t>
      </w:r>
    </w:p>
    <w:p>
      <w:pPr>
        <w:pStyle w:val="BodyText"/>
        <w:bidi w:val="0"/>
        <w:spacing w:lineRule="auto" w:line="276"/>
        <w:jc w:val="both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8. </w:t>
      </w:r>
      <w:r>
        <w:rPr>
          <w:rStyle w:val="Fontepargpadro"/>
          <w:b/>
          <w:bCs/>
          <w:lang w:eastAsia="en-US"/>
        </w:rPr>
        <w:t>JUSTIFICATIVA PARA O PARCELAMENTO OU NÃO DA CONTRATAÇÃO: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>A</w:t>
      </w:r>
      <w:r>
        <w:rPr>
          <w:rStyle w:val="Fontepargpadro"/>
          <w:b/>
          <w:bCs/>
          <w:lang w:eastAsia="en-US"/>
        </w:rPr>
        <w:t xml:space="preserve"> </w:t>
      </w:r>
      <w:r>
        <w:rPr>
          <w:rStyle w:val="Fontepargpadro"/>
          <w:b w:val="false"/>
          <w:bCs w:val="false"/>
          <w:lang w:eastAsia="en-US"/>
        </w:rPr>
        <w:t xml:space="preserve">justificativa para o não parcelamento da contratação é fundamentada em aspectos técnicos, econômicos e operacionais, especialmente os seguintes aspectos: 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Strong"/>
          <w:lang w:eastAsia="en-US"/>
        </w:rPr>
        <w:t>Gestão Logística Simplificada e Controle de Prazo de Entrega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A entrega pontual dos lanches é essencial para garantir que as sessões e reuniões ocorram sem interrupções. Com um único fornecedor, a logística de entregas é centralizada, o que facilita o controle sobre os horários e quantidades de lanches fornecidos. Caso fosse parcelada, haveria o risco de falhas na coordenação de múltiplos fornecedores, impactando na entrega pontual. 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2. </w:t>
      </w:r>
      <w:r>
        <w:rPr>
          <w:rStyle w:val="Strong"/>
          <w:lang w:eastAsia="en-US"/>
        </w:rPr>
        <w:t>Redução de Custos Operacionais e Logísticos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Ao centralizar a contratação em uma única empresa, é possível obter uma negociação mais vantajosa, tanto no preço dos lanches quanto nos custos logísticos (como o frete). A fragmentação da contratação poderia resultar em custos mais elevados, pois múltiplos fornecedores exigiriam diferentes processos de contratação, logística e gestão, aumentando o custo total. 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Strong"/>
          <w:lang w:eastAsia="en-US"/>
        </w:rPr>
        <w:t>Garantia de Conformidade com Normas Sanitárias e de Segurança Alimentar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lang w:eastAsia="en-US"/>
        </w:rPr>
        <w:t>A centralização da contratação permite um controle mais rigoroso sobre a conformidade dos lanches com as normas sanitárias e de segurança alimentar, garantindo que todas as entregas sigam os mesmos padrões e práticas de higiene. Se a licitação fosse parcelada, a diversidade de fornecedores poderia dificultar o controle rigoroso sobre esses requisitos, aumentando os riscos à saúde pública.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b/>
          <w:bCs/>
          <w:lang w:eastAsia="en-US"/>
        </w:rPr>
        <w:t>Conclusão</w:t>
      </w:r>
    </w:p>
    <w:p>
      <w:pPr>
        <w:pStyle w:val="Normal"/>
        <w:bidi w:val="0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A contratação de um único fornecedor é a melhor opção para garantir a padronização dos lanches, a pontualidade nas entregas e o cumprimento das normas sanitárias. Além disso, facilita a gestão logística, reduz custos e simplifica a fiscalização, tornando a execução do contrato mais eficiente e segura. 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9. </w:t>
      </w:r>
      <w:r>
        <w:rPr>
          <w:rStyle w:val="Fontepargpadro"/>
          <w:b/>
          <w:bCs/>
          <w:lang w:eastAsia="en-US"/>
        </w:rPr>
        <w:t>RESULTADOS PRETENDIDOS: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shd w:fill="auto" w:val="clear"/>
          <w:lang w:eastAsia="en-US"/>
        </w:rPr>
        <w:t>A presente contratação visa atender à necessidade de fornecimento de lanches aos servidores que atuam durante as sessões da Câmara Municipal de Três Passos/RS, realizadas, em sua maioria, após o horário regular de expediente, assegurando condições adequadas de trabalho durante o desempenho das atividades de apoio aos trabalhos legislativos.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Espera-se, com a aquisição dos lanches, proporcionar maior conforto, bem-estar e disposição aos servidores envolvidos, contribuindo para a manutenção da eficiência, da organização e da qualidade dos serviços prestados durante a realização das sessões.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A medida contribui para o regular funcionamento das atividades legislativas, garantindo suporte adequado aos servidores que permanecem em jornada estendida, de forma a favorecer a continuidade dos trabalhos do Poder Legislativo com eficiência e adequado suporte operacional.</w:t>
      </w:r>
    </w:p>
    <w:p>
      <w:pPr>
        <w:pStyle w:val="BodyText"/>
        <w:spacing w:lineRule="auto" w:line="276" w:before="0" w:after="283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Além disso, a contratação demonstra o compromisso institucional da Câmara Municipal com a valorização de seus servidores e com a gestão responsável dos recursos públicos, ao planejar o atendimento da demanda de forma anual, contínua e compatível com as necessidades institucionais.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10. </w:t>
      </w:r>
      <w:r>
        <w:rPr>
          <w:rStyle w:val="Fontepargpadro"/>
          <w:b/>
          <w:bCs/>
          <w:lang w:eastAsia="en-US"/>
        </w:rPr>
        <w:t>PROVIDÊNCIAS PRÉVIAS AO CONTRATO:</w:t>
      </w:r>
    </w:p>
    <w:p>
      <w:pPr>
        <w:pStyle w:val="BodyText"/>
        <w:bidi w:val="0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lang w:eastAsia="en-US"/>
        </w:rPr>
        <w:t>Para a contratação destinada ao fornecimento de lanches aos servidores que atuam durante as sessões da Câmara Municipal de Três Passos/RS, serão adotadas providências administrativas prévias voltadas ao adequado planejamento da demanda, à definição das quantidades estimadas e às especificações dos produtos a serem fornecidos, considerando a periodicidade das sessões e a média de consumo observada em exercícios anteriores.</w:t>
      </w:r>
    </w:p>
    <w:p>
      <w:pPr>
        <w:pStyle w:val="BodyText"/>
        <w:spacing w:lineRule="auto" w:line="276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shd w:fill="auto" w:val="clear"/>
          <w:lang w:eastAsia="en-US"/>
        </w:rPr>
        <w:t>Será elaborado Termo de Referência detalhado, contemplando a descrição dos lanches, as condições de fornecimento, prazos, forma de entrega, critérios de qualidade, bem como as responsabilidades da empresa contratada, de modo a assegurar a adequada execução do objeto e o atendimento às necessidades institucionais desta Casa Legislativa.</w:t>
      </w:r>
    </w:p>
    <w:p>
      <w:pPr>
        <w:pStyle w:val="BodyText"/>
        <w:spacing w:lineRule="auto" w:line="276" w:before="0" w:after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Será designado servidor responsável para acompanhar e fiscalizar a execução contratual, competindo-lhe realizar o controle dos pedidos, a conferência dos lanches fornecidos quanto à quantidade e conformidade com as especificações estabelecidas, bem como orientar a contratada quanto às rotinas de fornecimento.</w:t>
      </w:r>
    </w:p>
    <w:p>
      <w:pPr>
        <w:pStyle w:val="BodyText"/>
        <w:spacing w:lineRule="auto" w:line="276" w:before="0" w:after="283"/>
        <w:rPr>
          <w:rFonts w:ascii="Times New Roman" w:hAnsi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Toda a execução do contrato será devidamente acompanhada e registrada, garantindo o controle administrativo, a transparência e a correta aplicação dos recursos públicos, assegurando que o fornecimento dos lanches ocorra de forma regular, adequada e compatível com as necessidades dos servidores durante a realização das sessões legislativas.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11. </w:t>
      </w:r>
      <w:r>
        <w:rPr>
          <w:rStyle w:val="Fontepargpadro"/>
          <w:b/>
          <w:bCs/>
          <w:lang w:eastAsia="en-US"/>
        </w:rPr>
        <w:t>CONTRATAÇÕES CORRELATAS E/OU INTERDEPENDENTES: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>Esse estudo não identificou necessidade de realizar contratações acessórias para que ocorra a perfeita execução do objeto.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12. </w:t>
      </w:r>
      <w:r>
        <w:rPr>
          <w:rStyle w:val="Fontepargpadro"/>
          <w:b/>
          <w:bCs/>
          <w:lang w:eastAsia="en-US"/>
        </w:rPr>
        <w:t>POSSÍVEIS IMPACTOS AMBIENTAIS:</w:t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color w:val="000000"/>
          <w:lang w:eastAsia="en-US"/>
        </w:rPr>
        <w:t xml:space="preserve">Considerando a natureza do objeto, os impactos ambientais decorrentes da contratação são mínimos. Ainda assim, a Câmara Municipal adotará práticas voltadas à mitigação de eventuais impactos, mediante a correta separação e destinação dos resíduos gerados pelas embalagens após o consumo, incentivando a reciclagem e o descarte ambientalmente adequado, em conformidade com as boas práticas de sustentabilidade. </w:t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lang w:eastAsia="en-US"/>
        </w:rPr>
        <w:t xml:space="preserve">13. </w:t>
      </w:r>
      <w:r>
        <w:rPr>
          <w:rStyle w:val="Fontepargpadro"/>
          <w:b/>
          <w:bCs/>
          <w:lang w:eastAsia="en-US"/>
        </w:rPr>
        <w:t>DECLARAÇÃO DE VIABILIDADE:</w:t>
      </w:r>
    </w:p>
    <w:p>
      <w:pPr>
        <w:pStyle w:val="Normal"/>
        <w:spacing w:lineRule="auto" w:line="276"/>
        <w:jc w:val="both"/>
        <w:rPr/>
      </w:pPr>
      <w:r>
        <w:rPr>
          <w:lang w:val="pt-BR" w:eastAsia="pt-BR" w:bidi="ar-SA"/>
        </w:rPr>
        <w:t>Com base na justificativa e nas especificações técnicas constantes neste estudo técnico preliminar e seus anexos, e na existência de panejamento orçamentário para subsidiar esta contratação, entendemos que a presente contratação é viável e a melhor solução para a necessidade de</w:t>
      </w:r>
      <w:r>
        <w:rPr>
          <w:shd w:fill="auto" w:val="clear"/>
          <w:lang w:val="pt-BR" w:eastAsia="pt-BR" w:bidi="ar-SA"/>
        </w:rPr>
        <w:t>sta Casa Legislativa, atende</w:t>
      </w:r>
      <w:r>
        <w:rPr>
          <w:lang w:val="pt-BR" w:eastAsia="pt-BR" w:bidi="ar-SA"/>
        </w:rPr>
        <w:t>ndo aos padrões e os preços de mercado.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 w:val="false"/>
          <w:bCs w:val="false"/>
          <w:color w:val="111111"/>
        </w:rPr>
        <w:t>Três Passos, 20 de janeiro de 2026.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____________________</w:t>
      </w:r>
    </w:p>
    <w:p>
      <w:pPr>
        <w:pStyle w:val="Normal"/>
        <w:spacing w:lineRule="auto" w:line="276"/>
        <w:jc w:val="both"/>
        <w:rPr/>
      </w:pPr>
      <w:r>
        <w:rPr/>
        <w:t>Emanuelle C. C. Petrazzini</w:t>
      </w:r>
    </w:p>
    <w:p>
      <w:pPr>
        <w:pStyle w:val="Normal"/>
        <w:spacing w:lineRule="auto" w:line="276"/>
        <w:jc w:val="both"/>
        <w:rPr/>
      </w:pPr>
      <w:r>
        <w:rPr/>
        <w:t>Diretora Geral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VIABILIDADE DECLARADA PELA AUTORIDADE SUPERIOR:</w:t>
      </w:r>
    </w:p>
    <w:p>
      <w:pPr>
        <w:pStyle w:val="Normal"/>
        <w:spacing w:lineRule="auto" w:line="276"/>
        <w:jc w:val="both"/>
        <w:rPr/>
      </w:pPr>
      <w:r>
        <w:rPr/>
        <w:t>DATA: __/__/__</w:t>
      </w:r>
    </w:p>
    <w:p>
      <w:pPr>
        <w:pStyle w:val="Normal"/>
        <w:spacing w:lineRule="auto" w:line="276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_____________________</w:t>
      </w:r>
    </w:p>
    <w:p>
      <w:pPr>
        <w:pStyle w:val="Normal"/>
        <w:spacing w:lineRule="auto" w:line="276"/>
        <w:jc w:val="both"/>
        <w:rPr/>
      </w:pPr>
      <w:r>
        <w:rPr/>
        <w:t>Maria Helena G. Krummenauer</w:t>
      </w:r>
    </w:p>
    <w:p>
      <w:pPr>
        <w:pStyle w:val="Normal"/>
        <w:spacing w:lineRule="auto" w:line="276"/>
        <w:jc w:val="both"/>
        <w:rPr/>
      </w:pPr>
      <w:r>
        <w:rPr/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6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  <w:sz w:val="16"/>
        <w:u w:val="none"/>
        <w:color w:val="auto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Application>LibreOffice/25.2.7.2$Windows_X86_64 LibreOffice_project/5cbfd1ab6520636bb5f7b99185aa69bd7456825d</Application>
  <AppVersion>15.0000</AppVersion>
  <Pages>5</Pages>
  <Words>1596</Words>
  <Characters>9445</Characters>
  <CharactersWithSpaces>11020</CharactersWithSpaces>
  <Paragraphs>96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2026-01-23T11:34:28Z</cp:lastPrinted>
  <dcterms:modified xsi:type="dcterms:W3CDTF">2026-01-23T11:34:32Z</dcterms:modified>
  <cp:revision>108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