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Times New Roman" w:hAnsi="Times New Roman"/>
          <w:sz w:val="24"/>
          <w:szCs w:val="24"/>
        </w:rPr>
      </w:pPr>
      <w:r>
        <w:rPr>
          <w:b/>
          <w:bCs/>
          <w:sz w:val="24"/>
          <w:szCs w:val="24"/>
        </w:rPr>
        <w:t>TERMO DE REFERÊNCIA</w:t>
      </w:r>
    </w:p>
    <w:p>
      <w:pPr>
        <w:pStyle w:val="Normal"/>
        <w:spacing w:lineRule="auto" w:line="276"/>
        <w:jc w:val="center"/>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b/>
          <w:bCs/>
          <w:sz w:val="24"/>
          <w:szCs w:val="24"/>
        </w:rPr>
        <w:t>PROCESSO ADMINISTRATI</w:t>
      </w:r>
      <w:r>
        <w:rPr>
          <w:b/>
          <w:bCs/>
          <w:color w:val="000000"/>
          <w:sz w:val="24"/>
          <w:szCs w:val="24"/>
        </w:rPr>
        <w:t>VO N° 10/2026</w:t>
      </w:r>
    </w:p>
    <w:p>
      <w:pPr>
        <w:pStyle w:val="Normal"/>
        <w:spacing w:lineRule="auto" w:line="276"/>
        <w:jc w:val="both"/>
        <w:rPr>
          <w:rFonts w:ascii="Times New Roman" w:hAnsi="Times New Roman"/>
          <w:sz w:val="24"/>
          <w:szCs w:val="24"/>
        </w:rPr>
      </w:pPr>
      <w:r>
        <w:rPr>
          <w:b/>
          <w:bCs/>
          <w:sz w:val="24"/>
          <w:szCs w:val="24"/>
        </w:rPr>
        <w:t>CÂMARA MUNICIPAL DE TRÊS PASSOS/RS</w:t>
      </w:r>
    </w:p>
    <w:p>
      <w:pPr>
        <w:pStyle w:val="Normal"/>
        <w:spacing w:lineRule="auto" w:line="276"/>
        <w:jc w:val="both"/>
        <w:rPr/>
      </w:pPr>
      <w:r>
        <w:rPr>
          <w:b/>
          <w:bCs/>
          <w:sz w:val="24"/>
          <w:szCs w:val="24"/>
        </w:rPr>
        <w:t xml:space="preserve">OBJETO DA CONTRATAÇÃO: </w:t>
      </w:r>
      <w:r>
        <w:rPr>
          <w:rStyle w:val="Fontepargpadro"/>
          <w:b/>
          <w:bCs/>
          <w:i w:val="false"/>
          <w:iCs w:val="false"/>
          <w:color w:val="auto"/>
          <w:sz w:val="24"/>
          <w:szCs w:val="24"/>
          <w:lang w:eastAsia="en-US"/>
        </w:rPr>
        <w:t>CONTRATAÇÃO DE EMPRESA DO RAMO PERTINENTE PARA FORNECIMENTO DE BUQUÊS DE FLORES NATURAIS, DESTINADOS À ENTREGA COMO HOMENAGEM DURANTE SESSÃO SOLENE EM COMEMORAÇÃO AO DIA INTERNACIONAL DA MULHER, PROMOVIDA PELA CÂMARA MUNICIPAL DE TRÊS PASSOS.</w:t>
      </w:r>
    </w:p>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pPr>
      <w:r>
        <w:rPr>
          <w:rStyle w:val="Fontepargpadro"/>
          <w:b/>
          <w:bCs/>
          <w:sz w:val="24"/>
          <w:szCs w:val="24"/>
          <w:lang w:eastAsia="en-US"/>
        </w:rPr>
        <w:t>1. DEFINIÇÃO DO OBJETO:</w:t>
      </w:r>
    </w:p>
    <w:p>
      <w:pPr>
        <w:pStyle w:val="BodyText"/>
        <w:spacing w:lineRule="auto" w:line="276"/>
        <w:jc w:val="both"/>
        <w:rPr/>
      </w:pPr>
      <w:r>
        <w:rPr>
          <w:rStyle w:val="Fontepargpadro"/>
          <w:rFonts w:cs="Times New Roman" w:ascii="Times New Roman" w:hAnsi="Times New Roman"/>
          <w:b w:val="false"/>
          <w:bCs w:val="false"/>
          <w:i w:val="false"/>
          <w:iCs w:val="false"/>
          <w:color w:val="auto"/>
          <w:sz w:val="24"/>
          <w:szCs w:val="24"/>
          <w:lang w:eastAsia="en-US"/>
        </w:rPr>
        <w:t>O presente Termo de Referência tem por objeto a contratação de empresa do ramo pertinente para fornecimento de buquês de flores naturais, destinados à entrega como homenagem durante sessão solene em comemoração ao dia internacional da mulher, promovida pela Câmara Municipal de Três Passos.</w:t>
      </w:r>
    </w:p>
    <w:p>
      <w:pPr>
        <w:pStyle w:val="Normal"/>
        <w:spacing w:lineRule="auto" w:line="276"/>
        <w:jc w:val="both"/>
        <w:rPr>
          <w:rStyle w:val="Fontepargpadro"/>
          <w:sz w:val="24"/>
          <w:szCs w:val="24"/>
          <w:lang w:eastAsia="en-US"/>
        </w:rPr>
      </w:pPr>
      <w:r>
        <w:rPr>
          <w:sz w:val="24"/>
          <w:szCs w:val="24"/>
          <w:lang w:eastAsia="en-US"/>
        </w:rPr>
      </w:r>
    </w:p>
    <w:p>
      <w:pPr>
        <w:pStyle w:val="Normal"/>
        <w:spacing w:lineRule="auto" w:line="276"/>
        <w:jc w:val="both"/>
        <w:rPr/>
      </w:pPr>
      <w:r>
        <w:rPr>
          <w:rStyle w:val="Fontepargpadro"/>
          <w:b/>
          <w:bCs/>
          <w:sz w:val="24"/>
          <w:szCs w:val="24"/>
          <w:lang w:eastAsia="en-US"/>
        </w:rPr>
        <w:t>2. FUNDAMENTAÇÃO DA CONTRATAÇÃO:</w:t>
      </w:r>
    </w:p>
    <w:p>
      <w:pPr>
        <w:pStyle w:val="Normal"/>
        <w:spacing w:lineRule="auto" w:line="276"/>
        <w:jc w:val="both"/>
        <w:rPr/>
      </w:pPr>
      <w:r>
        <w:rPr>
          <w:rStyle w:val="Fontepargpadro"/>
          <w:sz w:val="24"/>
          <w:szCs w:val="24"/>
          <w:lang w:eastAsia="en-US"/>
        </w:rPr>
        <w:t>A presente contratação baseia-se no ETP n° 1</w:t>
      </w:r>
      <w:r>
        <w:rPr>
          <w:rStyle w:val="Fontepargpadro"/>
          <w:sz w:val="24"/>
          <w:szCs w:val="24"/>
          <w:shd w:fill="auto" w:val="clear"/>
          <w:lang w:eastAsia="en-US"/>
        </w:rPr>
        <w:t>0</w:t>
      </w:r>
      <w:r>
        <w:rPr>
          <w:rStyle w:val="Fontepargpadro"/>
          <w:sz w:val="24"/>
          <w:szCs w:val="24"/>
          <w:lang w:eastAsia="en-US"/>
        </w:rPr>
        <w:t>/2026.</w:t>
      </w:r>
    </w:p>
    <w:p>
      <w:pPr>
        <w:pStyle w:val="Standard"/>
        <w:spacing w:lineRule="auto" w:line="276"/>
        <w:jc w:val="both"/>
        <w:rPr>
          <w:rFonts w:ascii="Times New Roman" w:hAnsi="Times New Roman"/>
          <w:sz w:val="24"/>
          <w:szCs w:val="24"/>
        </w:rPr>
      </w:pPr>
      <w:r>
        <w:rPr>
          <w:sz w:val="24"/>
          <w:szCs w:val="24"/>
        </w:rPr>
      </w:r>
    </w:p>
    <w:p>
      <w:pPr>
        <w:pStyle w:val="Heading3"/>
        <w:spacing w:lineRule="auto" w:line="276"/>
        <w:jc w:val="both"/>
        <w:rPr/>
      </w:pPr>
      <w:r>
        <w:rPr>
          <w:rStyle w:val="Fontepargpadro"/>
          <w:rFonts w:cs="Times New Roman" w:ascii="Times New Roman" w:hAnsi="Times New Roman"/>
          <w:b/>
          <w:bCs/>
          <w:color w:val="000000"/>
          <w:sz w:val="24"/>
          <w:szCs w:val="24"/>
          <w:u w:val="none"/>
          <w:lang w:eastAsia="en-US"/>
        </w:rPr>
        <w:t>3. DESCRIÇÃO DA SOLUÇÃO COMO UM TODO:</w:t>
      </w:r>
    </w:p>
    <w:p>
      <w:pPr>
        <w:pStyle w:val="BodyText"/>
        <w:spacing w:lineRule="auto" w:line="276" w:before="0" w:after="283"/>
        <w:rPr>
          <w:rFonts w:ascii="Times New Roman" w:hAnsi="Times New Roman" w:cs="Times New Roman"/>
          <w:color w:val="000000"/>
          <w:lang w:eastAsia="en-US"/>
        </w:rPr>
      </w:pPr>
      <w:r>
        <w:rPr>
          <w:rStyle w:val="Strong"/>
          <w:rFonts w:cs="Times New Roman" w:ascii="Times New Roman" w:hAnsi="Times New Roman"/>
          <w:color w:val="000000"/>
          <w:lang w:eastAsia="en-US"/>
        </w:rPr>
        <w:t>3.1.</w:t>
      </w:r>
      <w:r>
        <w:rPr>
          <w:rFonts w:cs="Times New Roman" w:ascii="Times New Roman" w:hAnsi="Times New Roman"/>
          <w:color w:val="000000"/>
          <w:lang w:eastAsia="en-US"/>
        </w:rPr>
        <w:t xml:space="preserve"> A presente contratação tem por finalidade forne</w:t>
      </w:r>
      <w:r>
        <w:rPr>
          <w:rFonts w:cs="Times New Roman" w:ascii="Times New Roman" w:hAnsi="Times New Roman"/>
          <w:b w:val="false"/>
          <w:bCs w:val="false"/>
          <w:color w:val="000000"/>
          <w:lang w:eastAsia="en-US"/>
        </w:rPr>
        <w:t xml:space="preserve">cer </w:t>
      </w:r>
      <w:r>
        <w:rPr>
          <w:rStyle w:val="Strong"/>
          <w:rFonts w:cs="Times New Roman" w:ascii="Times New Roman" w:hAnsi="Times New Roman"/>
          <w:b w:val="false"/>
          <w:bCs w:val="false"/>
          <w:color w:val="000000"/>
          <w:lang w:eastAsia="en-US"/>
        </w:rPr>
        <w:t>buquês de flores naturais, de porte médio, confeccionados com flores frescas e de primeira qualidade</w:t>
      </w:r>
      <w:r>
        <w:rPr>
          <w:rFonts w:cs="Times New Roman" w:ascii="Times New Roman" w:hAnsi="Times New Roman"/>
          <w:b w:val="false"/>
          <w:bCs w:val="false"/>
          <w:color w:val="000000"/>
          <w:lang w:eastAsia="en-US"/>
        </w:rPr>
        <w:t xml:space="preserve">, destinados às </w:t>
      </w:r>
      <w:r>
        <w:rPr>
          <w:rStyle w:val="Strong"/>
          <w:rFonts w:cs="Times New Roman" w:ascii="Times New Roman" w:hAnsi="Times New Roman"/>
          <w:b w:val="false"/>
          <w:bCs w:val="false"/>
          <w:color w:val="000000"/>
          <w:lang w:eastAsia="en-US"/>
        </w:rPr>
        <w:t>mulheres homenageadas durante a Sessão Solene do dia 10/03/2026</w:t>
      </w:r>
      <w:r>
        <w:rPr>
          <w:rFonts w:cs="Times New Roman" w:ascii="Times New Roman" w:hAnsi="Times New Roman"/>
          <w:b w:val="false"/>
          <w:bCs w:val="false"/>
          <w:color w:val="000000"/>
          <w:lang w:eastAsia="en-US"/>
        </w:rPr>
        <w:t>. O</w:t>
      </w:r>
      <w:r>
        <w:rPr>
          <w:rFonts w:cs="Times New Roman" w:ascii="Times New Roman" w:hAnsi="Times New Roman"/>
          <w:color w:val="000000"/>
          <w:lang w:eastAsia="en-US"/>
        </w:rPr>
        <w:t>s arranjos deverão transmitir caráter solene, acolhedor e institucionalmente representativo, reforçando a importância da homenagem e o respeito da Câmara Municipal perante as homenageadas e a comunidade.</w:t>
      </w:r>
    </w:p>
    <w:p>
      <w:pPr>
        <w:pStyle w:val="BodyText"/>
        <w:spacing w:lineRule="auto" w:line="276" w:before="0" w:after="283"/>
        <w:rPr>
          <w:rFonts w:ascii="Times New Roman" w:hAnsi="Times New Roman" w:cs="Times New Roman"/>
          <w:color w:val="000000"/>
          <w:lang w:eastAsia="en-US"/>
        </w:rPr>
      </w:pPr>
      <w:r>
        <w:rPr>
          <w:rStyle w:val="Strong"/>
          <w:rFonts w:cs="Times New Roman" w:ascii="Times New Roman" w:hAnsi="Times New Roman"/>
          <w:color w:val="000000"/>
          <w:lang w:eastAsia="en-US"/>
        </w:rPr>
        <w:t>3.2.</w:t>
      </w:r>
      <w:r>
        <w:rPr>
          <w:rFonts w:cs="Times New Roman" w:ascii="Times New Roman" w:hAnsi="Times New Roman"/>
          <w:color w:val="000000"/>
          <w:lang w:eastAsia="en-US"/>
        </w:rPr>
        <w:t xml:space="preserve"> A solução compreende a confecção, acondicionamento e entrega dos buquês prontos para entrega às homenageadas, garantindo padrão estético uniforme, qualidade das flores e preservação do frescor até o momento da entrega durante a Sessão Solene.</w:t>
      </w:r>
    </w:p>
    <w:p>
      <w:pPr>
        <w:pStyle w:val="BodyText"/>
        <w:spacing w:lineRule="auto" w:line="276" w:before="0" w:after="283"/>
        <w:rPr>
          <w:rFonts w:ascii="Times New Roman" w:hAnsi="Times New Roman" w:cs="Times New Roman"/>
          <w:color w:val="000000"/>
          <w:lang w:eastAsia="en-US"/>
        </w:rPr>
      </w:pPr>
      <w:r>
        <w:rPr>
          <w:rStyle w:val="Strong"/>
          <w:rFonts w:cs="Times New Roman" w:ascii="Times New Roman" w:hAnsi="Times New Roman"/>
          <w:color w:val="000000"/>
          <w:lang w:eastAsia="en-US"/>
        </w:rPr>
        <w:t>3.3.</w:t>
      </w:r>
      <w:r>
        <w:rPr>
          <w:rFonts w:cs="Times New Roman" w:ascii="Times New Roman" w:hAnsi="Times New Roman"/>
          <w:color w:val="000000"/>
          <w:lang w:eastAsia="en-US"/>
        </w:rPr>
        <w:t xml:space="preserve"> A contratação será realizada por meio d</w:t>
      </w:r>
      <w:r>
        <w:rPr>
          <w:rFonts w:cs="Times New Roman" w:ascii="Times New Roman" w:hAnsi="Times New Roman"/>
          <w:b w:val="false"/>
          <w:bCs w:val="false"/>
          <w:color w:val="000000"/>
          <w:lang w:eastAsia="en-US"/>
        </w:rPr>
        <w:t xml:space="preserve">e </w:t>
      </w:r>
      <w:r>
        <w:rPr>
          <w:rStyle w:val="Strong"/>
          <w:rFonts w:cs="Times New Roman" w:ascii="Times New Roman" w:hAnsi="Times New Roman"/>
          <w:b w:val="false"/>
          <w:bCs w:val="false"/>
          <w:color w:val="000000"/>
          <w:lang w:eastAsia="en-US"/>
        </w:rPr>
        <w:t>Dispensa de Licitação</w:t>
      </w:r>
      <w:r>
        <w:rPr>
          <w:rFonts w:cs="Times New Roman" w:ascii="Times New Roman" w:hAnsi="Times New Roman"/>
          <w:b w:val="false"/>
          <w:bCs w:val="false"/>
          <w:color w:val="000000"/>
          <w:lang w:eastAsia="en-US"/>
        </w:rPr>
        <w:t xml:space="preserve">, </w:t>
      </w:r>
      <w:r>
        <w:rPr>
          <w:rFonts w:cs="Times New Roman" w:ascii="Times New Roman" w:hAnsi="Times New Roman"/>
          <w:color w:val="000000"/>
          <w:lang w:eastAsia="en-US"/>
        </w:rPr>
        <w:t>com fundamento no art. 75, inciso II, da Lei nº 14.133/2021, por se tratar de serviço de pequeno valor, observando-se os princípios da economicidade, eficiência e proporcionalidade.</w:t>
      </w:r>
    </w:p>
    <w:p>
      <w:pPr>
        <w:pStyle w:val="BodyText"/>
        <w:spacing w:lineRule="auto" w:line="276" w:before="0" w:after="283"/>
        <w:rPr>
          <w:rFonts w:ascii="Times New Roman" w:hAnsi="Times New Roman" w:cs="Times New Roman"/>
          <w:color w:val="000000"/>
          <w:lang w:eastAsia="en-US"/>
        </w:rPr>
      </w:pPr>
      <w:r>
        <w:rPr>
          <w:rStyle w:val="Strong"/>
          <w:rFonts w:cs="Times New Roman" w:ascii="Times New Roman" w:hAnsi="Times New Roman"/>
          <w:color w:val="000000"/>
          <w:lang w:eastAsia="en-US"/>
        </w:rPr>
        <w:t>3.4.</w:t>
      </w:r>
      <w:r>
        <w:rPr>
          <w:rFonts w:cs="Times New Roman" w:ascii="Times New Roman" w:hAnsi="Times New Roman"/>
          <w:color w:val="000000"/>
          <w:lang w:eastAsia="en-US"/>
        </w:rPr>
        <w:t xml:space="preserve"> A adoção dessa solução assegura que as homenageadas recebam os buquês em perfeitas condições, sem sobrecarga operacional à equipe interna, garantindo pontualidade, qualidade estética e apresentação adequada durante a Sessão Solene.</w:t>
      </w:r>
    </w:p>
    <w:p>
      <w:pPr>
        <w:pStyle w:val="BodyText"/>
        <w:spacing w:lineRule="auto" w:line="276" w:before="0" w:after="283"/>
        <w:rPr>
          <w:rFonts w:ascii="Times New Roman" w:hAnsi="Times New Roman" w:cs="Times New Roman"/>
          <w:color w:val="000000"/>
          <w:lang w:eastAsia="en-US"/>
        </w:rPr>
      </w:pPr>
      <w:r>
        <w:rPr>
          <w:rStyle w:val="Strong"/>
          <w:rFonts w:cs="Times New Roman" w:ascii="Times New Roman" w:hAnsi="Times New Roman"/>
          <w:color w:val="000000"/>
          <w:lang w:eastAsia="en-US"/>
        </w:rPr>
        <w:t>3.5.</w:t>
      </w:r>
      <w:r>
        <w:rPr>
          <w:rFonts w:cs="Times New Roman" w:ascii="Times New Roman" w:hAnsi="Times New Roman"/>
          <w:color w:val="000000"/>
          <w:lang w:eastAsia="en-US"/>
        </w:rPr>
        <w:t xml:space="preserve"> Os buquês deverão ser entregues no</w:t>
      </w:r>
      <w:r>
        <w:rPr>
          <w:rFonts w:cs="Times New Roman" w:ascii="Times New Roman" w:hAnsi="Times New Roman"/>
          <w:b w:val="false"/>
          <w:bCs w:val="false"/>
          <w:color w:val="000000"/>
          <w:lang w:eastAsia="en-US"/>
        </w:rPr>
        <w:t xml:space="preserve"> </w:t>
      </w:r>
      <w:r>
        <w:rPr>
          <w:rStyle w:val="Strong"/>
          <w:rFonts w:cs="Times New Roman" w:ascii="Times New Roman" w:hAnsi="Times New Roman"/>
          <w:b w:val="false"/>
          <w:bCs w:val="false"/>
          <w:color w:val="000000"/>
          <w:lang w:eastAsia="en-US"/>
        </w:rPr>
        <w:t>dia 10/03/2026</w:t>
      </w:r>
      <w:r>
        <w:rPr>
          <w:rFonts w:cs="Times New Roman" w:ascii="Times New Roman" w:hAnsi="Times New Roman"/>
          <w:b w:val="false"/>
          <w:bCs w:val="false"/>
          <w:color w:val="000000"/>
          <w:lang w:eastAsia="en-US"/>
        </w:rPr>
        <w:t>, no e</w:t>
      </w:r>
      <w:r>
        <w:rPr>
          <w:rFonts w:cs="Times New Roman" w:ascii="Times New Roman" w:hAnsi="Times New Roman"/>
          <w:color w:val="000000"/>
          <w:lang w:eastAsia="en-US"/>
        </w:rPr>
        <w:t>ndereço da sede do Poder Legislativ</w:t>
      </w:r>
      <w:r>
        <w:rPr>
          <w:rFonts w:cs="Times New Roman" w:ascii="Times New Roman" w:hAnsi="Times New Roman"/>
          <w:b w:val="false"/>
          <w:bCs w:val="false"/>
          <w:color w:val="000000"/>
          <w:lang w:eastAsia="en-US"/>
        </w:rPr>
        <w:t>o (</w:t>
      </w:r>
      <w:r>
        <w:rPr>
          <w:rStyle w:val="Strong"/>
          <w:rFonts w:cs="Times New Roman" w:ascii="Times New Roman" w:hAnsi="Times New Roman"/>
          <w:b w:val="false"/>
          <w:bCs w:val="false"/>
          <w:color w:val="000000"/>
          <w:lang w:eastAsia="en-US"/>
        </w:rPr>
        <w:t>Rua Salgado Filho nº 79, Centro, Três Passos – RS</w:t>
      </w:r>
      <w:r>
        <w:rPr>
          <w:rFonts w:cs="Times New Roman" w:ascii="Times New Roman" w:hAnsi="Times New Roman"/>
          <w:b w:val="false"/>
          <w:bCs w:val="false"/>
          <w:color w:val="000000"/>
          <w:lang w:eastAsia="en-US"/>
        </w:rPr>
        <w:t>), pro</w:t>
      </w:r>
      <w:r>
        <w:rPr>
          <w:rFonts w:cs="Times New Roman" w:ascii="Times New Roman" w:hAnsi="Times New Roman"/>
          <w:color w:val="000000"/>
          <w:lang w:eastAsia="en-US"/>
        </w:rPr>
        <w:t>ntos para entrega direta às homenageadas no momento da cerimônia.</w:t>
      </w:r>
    </w:p>
    <w:p>
      <w:pPr>
        <w:pStyle w:val="Normal"/>
        <w:spacing w:lineRule="auto" w:line="276"/>
        <w:jc w:val="both"/>
        <w:rPr>
          <w:rStyle w:val="Fontepargpadro"/>
          <w:rFonts w:ascii="Times New Roman" w:hAnsi="Times New Roman" w:cs="Times New Roman"/>
          <w:b w:val="false"/>
          <w:bCs w:val="false"/>
          <w:color w:val="000000"/>
          <w:sz w:val="24"/>
          <w:szCs w:val="24"/>
          <w:lang w:eastAsia="en-US"/>
        </w:rPr>
      </w:pPr>
      <w:r>
        <w:rPr>
          <w:rFonts w:cs="Times New Roman"/>
          <w:b w:val="false"/>
          <w:bCs w:val="false"/>
          <w:color w:val="000000"/>
          <w:sz w:val="24"/>
          <w:szCs w:val="24"/>
          <w:lang w:eastAsia="en-US"/>
        </w:rPr>
      </w:r>
    </w:p>
    <w:p>
      <w:pPr>
        <w:pStyle w:val="Heading3"/>
        <w:spacing w:lineRule="auto" w:line="276"/>
        <w:jc w:val="both"/>
        <w:rPr/>
      </w:pPr>
      <w:r>
        <w:rPr>
          <w:rStyle w:val="Fontepargpadro"/>
          <w:rFonts w:cs="Times New Roman" w:ascii="Times New Roman" w:hAnsi="Times New Roman"/>
          <w:b/>
          <w:bCs/>
          <w:sz w:val="24"/>
          <w:szCs w:val="24"/>
          <w:u w:val="none"/>
          <w:shd w:fill="auto" w:val="clear"/>
          <w:lang w:eastAsia="ar-SA"/>
        </w:rPr>
        <w:t>4. DESCRIÇÃO DOS REQUISITOS DA CONTRATAÇÃO:</w:t>
      </w:r>
    </w:p>
    <w:p>
      <w:pPr>
        <w:pStyle w:val="BodyText"/>
        <w:spacing w:lineRule="auto" w:line="276" w:before="0" w:after="283"/>
        <w:rPr>
          <w:rFonts w:ascii="Times New Roman" w:hAnsi="Times New Roman" w:cs="Times New Roman"/>
          <w:shd w:fill="FF8000" w:val="clear"/>
          <w:lang w:eastAsia="ar-SA"/>
        </w:rPr>
      </w:pPr>
      <w:r>
        <w:rPr>
          <w:rStyle w:val="Strong"/>
          <w:rFonts w:cs="Times New Roman" w:ascii="Times New Roman" w:hAnsi="Times New Roman"/>
          <w:sz w:val="24"/>
          <w:szCs w:val="24"/>
          <w:shd w:fill="auto" w:val="clear"/>
          <w:lang w:eastAsia="ar-SA"/>
        </w:rPr>
        <w:t>4.1.</w:t>
      </w:r>
      <w:r>
        <w:rPr>
          <w:rFonts w:cs="Times New Roman" w:ascii="Times New Roman" w:hAnsi="Times New Roman"/>
          <w:sz w:val="24"/>
          <w:szCs w:val="24"/>
          <w:shd w:fill="auto" w:val="clear"/>
          <w:lang w:eastAsia="ar-SA"/>
        </w:rPr>
        <w:t xml:space="preserve"> A empresa contratada deverá fornecer</w:t>
      </w:r>
      <w:r>
        <w:rPr>
          <w:rFonts w:cs="Times New Roman" w:ascii="Times New Roman" w:hAnsi="Times New Roman"/>
          <w:b w:val="false"/>
          <w:bCs w:val="false"/>
          <w:sz w:val="24"/>
          <w:szCs w:val="24"/>
          <w:shd w:fill="auto" w:val="clear"/>
          <w:lang w:eastAsia="ar-SA"/>
        </w:rPr>
        <w:t xml:space="preserve"> </w:t>
      </w:r>
      <w:r>
        <w:rPr>
          <w:rStyle w:val="Strong"/>
          <w:rFonts w:cs="Times New Roman" w:ascii="Times New Roman" w:hAnsi="Times New Roman"/>
          <w:b w:val="false"/>
          <w:bCs w:val="false"/>
          <w:sz w:val="24"/>
          <w:szCs w:val="24"/>
          <w:shd w:fill="auto" w:val="clear"/>
          <w:lang w:eastAsia="ar-SA"/>
        </w:rPr>
        <w:t>buquês de flores naturais, de porte médio</w:t>
      </w:r>
      <w:r>
        <w:rPr>
          <w:rFonts w:cs="Times New Roman" w:ascii="Times New Roman" w:hAnsi="Times New Roman"/>
          <w:b w:val="false"/>
          <w:bCs w:val="false"/>
          <w:sz w:val="24"/>
          <w:szCs w:val="24"/>
          <w:shd w:fill="auto" w:val="clear"/>
          <w:lang w:eastAsia="ar-SA"/>
        </w:rPr>
        <w:t>, confeccionados com flores frescas, de primeira qualidade, devidamente montados e finalizados</w:t>
      </w:r>
      <w:r>
        <w:rPr>
          <w:rFonts w:cs="Times New Roman" w:ascii="Times New Roman" w:hAnsi="Times New Roman"/>
          <w:sz w:val="24"/>
          <w:szCs w:val="24"/>
          <w:shd w:fill="auto" w:val="clear"/>
          <w:lang w:eastAsia="ar-SA"/>
        </w:rPr>
        <w:t>, prontos para entrega na data e local indicados pela Câmara Municipal, destinados à homenagem em Sessão Solene do dia 10/03/2026.</w:t>
      </w:r>
    </w:p>
    <w:p>
      <w:pPr>
        <w:pStyle w:val="BodyText"/>
        <w:spacing w:lineRule="auto" w:line="276" w:before="0" w:after="283"/>
        <w:rPr>
          <w:rFonts w:ascii="Times New Roman" w:hAnsi="Times New Roman" w:cs="Times New Roman"/>
          <w:shd w:fill="FF8000" w:val="clear"/>
          <w:lang w:eastAsia="ar-SA"/>
        </w:rPr>
      </w:pPr>
      <w:r>
        <w:rPr>
          <w:rStyle w:val="Strong"/>
          <w:rFonts w:cs="Times New Roman" w:ascii="Times New Roman" w:hAnsi="Times New Roman"/>
          <w:sz w:val="24"/>
          <w:szCs w:val="24"/>
          <w:shd w:fill="auto" w:val="clear"/>
          <w:lang w:eastAsia="ar-SA"/>
        </w:rPr>
        <w:t>4.2.</w:t>
      </w:r>
      <w:r>
        <w:rPr>
          <w:rFonts w:cs="Times New Roman" w:ascii="Times New Roman" w:hAnsi="Times New Roman"/>
          <w:sz w:val="24"/>
          <w:szCs w:val="24"/>
          <w:shd w:fill="auto" w:val="clear"/>
          <w:lang w:eastAsia="ar-SA"/>
        </w:rPr>
        <w:t xml:space="preserve"> As flores utilizadas nos buquês deverão estar em perfeito estado de conservação, frescor e aparência, livres de pragas, manchas, danos mecânicos ou sinais de murchamento, garantindo adequada apresentação estética durante toda a solenidade.</w:t>
      </w:r>
    </w:p>
    <w:p>
      <w:pPr>
        <w:pStyle w:val="BodyText"/>
        <w:spacing w:lineRule="auto" w:line="276" w:before="0" w:after="283"/>
        <w:rPr>
          <w:rFonts w:ascii="Times New Roman" w:hAnsi="Times New Roman" w:cs="Times New Roman"/>
          <w:shd w:fill="FF8000" w:val="clear"/>
          <w:lang w:eastAsia="ar-SA"/>
        </w:rPr>
      </w:pPr>
      <w:r>
        <w:rPr>
          <w:rStyle w:val="Strong"/>
          <w:rFonts w:cs="Times New Roman" w:ascii="Times New Roman" w:hAnsi="Times New Roman"/>
          <w:sz w:val="24"/>
          <w:szCs w:val="24"/>
          <w:shd w:fill="auto" w:val="clear"/>
          <w:lang w:eastAsia="ar-SA"/>
        </w:rPr>
        <w:t>4.3.</w:t>
      </w:r>
      <w:r>
        <w:rPr>
          <w:rFonts w:cs="Times New Roman" w:ascii="Times New Roman" w:hAnsi="Times New Roman"/>
          <w:sz w:val="24"/>
          <w:szCs w:val="24"/>
          <w:shd w:fill="auto" w:val="clear"/>
          <w:lang w:eastAsia="ar-SA"/>
        </w:rPr>
        <w:t xml:space="preserve"> Os buquês deverão apresentar composição harmoniosa, acabamento refinado e padrão compatível com o caráter institucional e solene do evento, observando cores e estilos previamente alinhados com a Câmara Municipal, se necessário.</w:t>
      </w:r>
    </w:p>
    <w:p>
      <w:pPr>
        <w:pStyle w:val="BodyText"/>
        <w:spacing w:lineRule="auto" w:line="276" w:before="0" w:after="283"/>
        <w:rPr>
          <w:rFonts w:ascii="Times New Roman" w:hAnsi="Times New Roman" w:cs="Times New Roman"/>
          <w:shd w:fill="FF8000" w:val="clear"/>
          <w:lang w:eastAsia="ar-SA"/>
        </w:rPr>
      </w:pPr>
      <w:r>
        <w:rPr>
          <w:rStyle w:val="Strong"/>
          <w:rFonts w:cs="Times New Roman" w:ascii="Times New Roman" w:hAnsi="Times New Roman"/>
          <w:sz w:val="24"/>
          <w:szCs w:val="24"/>
          <w:shd w:fill="auto" w:val="clear"/>
          <w:lang w:eastAsia="ar-SA"/>
        </w:rPr>
        <w:t>4.4.</w:t>
      </w:r>
      <w:r>
        <w:rPr>
          <w:rFonts w:cs="Times New Roman" w:ascii="Times New Roman" w:hAnsi="Times New Roman"/>
          <w:sz w:val="24"/>
          <w:szCs w:val="24"/>
          <w:shd w:fill="auto" w:val="clear"/>
          <w:lang w:eastAsia="ar-SA"/>
        </w:rPr>
        <w:t xml:space="preserve"> A contratada deverá assegurar que os buquês sejam entregues no prazo estipulado, em horário anterior ao início da Sessão Solene, garantindo que estejam em condições ideais para utilização no momento das homenagens.</w:t>
      </w:r>
    </w:p>
    <w:p>
      <w:pPr>
        <w:pStyle w:val="BodyText"/>
        <w:spacing w:lineRule="auto" w:line="276" w:before="0" w:after="283"/>
        <w:rPr>
          <w:rFonts w:ascii="Times New Roman" w:hAnsi="Times New Roman" w:cs="Times New Roman"/>
          <w:shd w:fill="FF8000" w:val="clear"/>
          <w:lang w:eastAsia="ar-SA"/>
        </w:rPr>
      </w:pPr>
      <w:r>
        <w:rPr>
          <w:rStyle w:val="Strong"/>
          <w:rFonts w:cs="Times New Roman" w:ascii="Times New Roman" w:hAnsi="Times New Roman"/>
          <w:sz w:val="24"/>
          <w:szCs w:val="24"/>
          <w:shd w:fill="auto" w:val="clear"/>
          <w:lang w:eastAsia="ar-SA"/>
        </w:rPr>
        <w:t>4.5.</w:t>
      </w:r>
      <w:r>
        <w:rPr>
          <w:rFonts w:cs="Times New Roman" w:ascii="Times New Roman" w:hAnsi="Times New Roman"/>
          <w:sz w:val="24"/>
          <w:szCs w:val="24"/>
          <w:shd w:fill="auto" w:val="clear"/>
          <w:lang w:eastAsia="ar-SA"/>
        </w:rPr>
        <w:t xml:space="preserve"> O transporte deverá ser realizado de forma adequada, preservando a integridade das flores, protegendo-as contra exposição excessiva ao calor, umidade ou danos físicos, sendo de responsabilidade exclusiva da contratada quaisquer avarias decorrentes do transporte ou manuseio.</w:t>
      </w:r>
    </w:p>
    <w:p>
      <w:pPr>
        <w:pStyle w:val="BodyText"/>
        <w:spacing w:lineRule="auto" w:line="276" w:before="0" w:after="283"/>
        <w:rPr>
          <w:rFonts w:ascii="Times New Roman" w:hAnsi="Times New Roman" w:cs="Times New Roman"/>
          <w:shd w:fill="FF8000" w:val="clear"/>
          <w:lang w:eastAsia="ar-SA"/>
        </w:rPr>
      </w:pPr>
      <w:r>
        <w:rPr>
          <w:rStyle w:val="Strong"/>
          <w:rFonts w:cs="Times New Roman" w:ascii="Times New Roman" w:hAnsi="Times New Roman"/>
          <w:sz w:val="24"/>
          <w:szCs w:val="24"/>
          <w:shd w:fill="auto" w:val="clear"/>
          <w:lang w:eastAsia="ar-SA"/>
        </w:rPr>
        <w:t>4.6.</w:t>
      </w:r>
      <w:r>
        <w:rPr>
          <w:rFonts w:cs="Times New Roman" w:ascii="Times New Roman" w:hAnsi="Times New Roman"/>
          <w:sz w:val="24"/>
          <w:szCs w:val="24"/>
          <w:shd w:fill="auto" w:val="clear"/>
          <w:lang w:eastAsia="ar-SA"/>
        </w:rPr>
        <w:t xml:space="preserve"> Caso solicitado pela Câmara Municipal, os buquês poderão conter embalagem apropriada, laço decorativo e/ou cartão de homenagem, conforme especificações previamente definidas.</w:t>
      </w:r>
    </w:p>
    <w:p>
      <w:pPr>
        <w:pStyle w:val="BodyText"/>
        <w:spacing w:lineRule="auto" w:line="276" w:before="0" w:after="283"/>
        <w:rPr/>
      </w:pPr>
      <w:r>
        <w:rPr>
          <w:rStyle w:val="Strong"/>
          <w:rFonts w:cs="Times New Roman" w:ascii="Times New Roman" w:hAnsi="Times New Roman"/>
          <w:sz w:val="24"/>
          <w:szCs w:val="24"/>
          <w:shd w:fill="auto" w:val="clear"/>
          <w:lang w:eastAsia="ar-SA"/>
        </w:rPr>
        <w:t>4.7.</w:t>
      </w:r>
      <w:r>
        <w:rPr>
          <w:rFonts w:cs="Times New Roman" w:ascii="Times New Roman" w:hAnsi="Times New Roman"/>
          <w:sz w:val="24"/>
          <w:szCs w:val="24"/>
          <w:shd w:fill="auto" w:val="clear"/>
          <w:lang w:eastAsia="ar-SA"/>
        </w:rPr>
        <w:t xml:space="preserve"> Todos os custos relativos à aquisição das flores, confecção dos buquês, embalagem, transporte e entrega correrão por conta exclusiva da contratada, não cabendo qualquer ônus adicional à Câmara Municipal além do valor contratado.</w:t>
      </w:r>
    </w:p>
    <w:p>
      <w:pPr>
        <w:pStyle w:val="BodyText"/>
        <w:suppressAutoHyphens w:val="true"/>
        <w:spacing w:lineRule="auto" w:line="276" w:before="0" w:after="200"/>
        <w:contextualSpacing/>
        <w:rPr>
          <w:rFonts w:ascii="Times New Roman" w:hAnsi="Times New Roman"/>
          <w:sz w:val="24"/>
          <w:szCs w:val="24"/>
        </w:rPr>
      </w:pPr>
      <w:r>
        <w:rPr>
          <w:rFonts w:eastAsia="Calibri" w:cs="Times New Roman" w:ascii="Times New Roman" w:hAnsi="Times New Roman"/>
          <w:b/>
          <w:bCs/>
          <w:sz w:val="24"/>
          <w:szCs w:val="24"/>
          <w:lang w:eastAsia="ar-SA"/>
        </w:rPr>
        <w:t>4.8.</w:t>
      </w:r>
      <w:r>
        <w:rPr>
          <w:rFonts w:eastAsia="Calibri" w:cs="Times New Roman" w:ascii="Times New Roman" w:hAnsi="Times New Roman"/>
          <w:b w:val="false"/>
          <w:bCs w:val="false"/>
          <w:sz w:val="24"/>
          <w:szCs w:val="24"/>
          <w:lang w:eastAsia="ar-SA"/>
        </w:rPr>
        <w:t xml:space="preserve"> O pagamento será efetuado </w:t>
      </w:r>
      <w:r>
        <w:rPr>
          <w:rFonts w:eastAsia="Calibri" w:cs="Times New Roman" w:ascii="Times New Roman" w:hAnsi="Times New Roman"/>
          <w:b w:val="false"/>
          <w:bCs w:val="false"/>
          <w:sz w:val="24"/>
          <w:szCs w:val="24"/>
          <w:shd w:fill="auto" w:val="clear"/>
          <w:lang w:eastAsia="ar-SA"/>
        </w:rPr>
        <w:t xml:space="preserve">em até 10 (dez) dias </w:t>
      </w:r>
      <w:r>
        <w:rPr>
          <w:rFonts w:eastAsia="Calibri" w:cs="Times New Roman" w:ascii="Times New Roman" w:hAnsi="Times New Roman"/>
          <w:b w:val="false"/>
          <w:bCs w:val="false"/>
          <w:sz w:val="24"/>
          <w:szCs w:val="24"/>
          <w:lang w:eastAsia="ar-SA"/>
        </w:rPr>
        <w:t>após a entrega total do objeto por empenho, mediante apresentação do documento fiscal correspondente ao objeto contratado e conferência e atestado de recebimento do objeto pelo fiscal do contrato.</w:t>
      </w:r>
    </w:p>
    <w:p>
      <w:pPr>
        <w:pStyle w:val="BodyText"/>
        <w:suppressAutoHyphens w:val="true"/>
        <w:spacing w:lineRule="auto" w:line="276" w:before="0" w:after="200"/>
        <w:contextualSpacing/>
        <w:rPr>
          <w:rFonts w:ascii="Times New Roman" w:hAnsi="Times New Roman" w:eastAsia="Calibri" w:cs="Times New Roman"/>
          <w:b w:val="false"/>
          <w:bCs w:val="false"/>
          <w:color w:val="000000"/>
          <w:sz w:val="24"/>
          <w:szCs w:val="24"/>
          <w:lang w:eastAsia="ar-SA"/>
        </w:rPr>
      </w:pPr>
      <w:r>
        <w:rPr>
          <w:rFonts w:eastAsia="Calibri" w:cs="Times New Roman" w:ascii="Times New Roman" w:hAnsi="Times New Roman"/>
          <w:b w:val="false"/>
          <w:bCs w:val="false"/>
          <w:color w:val="000000"/>
          <w:sz w:val="24"/>
          <w:szCs w:val="24"/>
          <w:lang w:eastAsia="ar-SA"/>
        </w:rPr>
      </w:r>
    </w:p>
    <w:p>
      <w:pPr>
        <w:pStyle w:val="BodyText"/>
        <w:suppressAutoHyphens w:val="true"/>
        <w:spacing w:lineRule="auto" w:line="276" w:before="0" w:after="200"/>
        <w:contextualSpacing/>
        <w:rPr>
          <w:rFonts w:ascii="Times New Roman" w:hAnsi="Times New Roman"/>
          <w:sz w:val="24"/>
          <w:szCs w:val="24"/>
        </w:rPr>
      </w:pPr>
      <w:r>
        <w:rPr>
          <w:rFonts w:eastAsia="Calibri" w:ascii="Times New Roman" w:hAnsi="Times New Roman"/>
          <w:color w:val="000000"/>
          <w:sz w:val="24"/>
          <w:szCs w:val="24"/>
        </w:rPr>
        <w:t>§ 1º Considera-se ocorrido o recebimento da nota fiscal ou fatura no momento em que o órgão contratante atestar a execução do objeto do contrato.</w:t>
      </w:r>
    </w:p>
    <w:p>
      <w:pPr>
        <w:pStyle w:val="Normal"/>
        <w:tabs>
          <w:tab w:val="clear" w:pos="709"/>
          <w:tab w:val="left" w:pos="567" w:leader="none"/>
        </w:tabs>
        <w:suppressAutoHyphens w:val="false"/>
        <w:spacing w:lineRule="auto" w:line="276"/>
        <w:ind w:hanging="0" w:left="0" w:right="0"/>
        <w:jc w:val="both"/>
        <w:rPr>
          <w:rFonts w:ascii="Times New Roman" w:hAnsi="Times New Roman" w:eastAsia="Calibri"/>
          <w:color w:val="000000"/>
          <w:sz w:val="24"/>
          <w:szCs w:val="24"/>
        </w:rPr>
      </w:pPr>
      <w:r>
        <w:rPr>
          <w:rFonts w:eastAsia="Calibri"/>
          <w:color w:val="000000"/>
          <w:sz w:val="24"/>
          <w:szCs w:val="24"/>
        </w:rPr>
      </w:r>
    </w:p>
    <w:p>
      <w:pPr>
        <w:pStyle w:val="Normal"/>
        <w:tabs>
          <w:tab w:val="clear" w:pos="709"/>
          <w:tab w:val="left" w:pos="567" w:leader="none"/>
        </w:tabs>
        <w:suppressAutoHyphens w:val="false"/>
        <w:spacing w:lineRule="auto" w:line="276"/>
        <w:ind w:hanging="0" w:left="0" w:right="0"/>
        <w:jc w:val="both"/>
        <w:rPr>
          <w:rFonts w:ascii="Times New Roman" w:hAnsi="Times New Roman"/>
          <w:sz w:val="24"/>
          <w:szCs w:val="24"/>
        </w:rPr>
      </w:pPr>
      <w:r>
        <w:rPr>
          <w:rFonts w:eastAsia="Calibri"/>
          <w:color w:val="000000"/>
          <w:sz w:val="24"/>
          <w:szCs w:val="24"/>
        </w:rPr>
        <w:t>§ 2º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pPr>
        <w:pStyle w:val="Normal"/>
        <w:tabs>
          <w:tab w:val="clear" w:pos="709"/>
          <w:tab w:val="left" w:pos="567" w:leader="none"/>
        </w:tabs>
        <w:suppressAutoHyphens w:val="false"/>
        <w:spacing w:lineRule="auto" w:line="276"/>
        <w:ind w:hanging="0" w:left="0" w:right="0"/>
        <w:jc w:val="both"/>
        <w:rPr>
          <w:rFonts w:ascii="Times New Roman" w:hAnsi="Times New Roman" w:eastAsia="Calibri"/>
          <w:color w:val="000000"/>
          <w:sz w:val="24"/>
          <w:szCs w:val="24"/>
        </w:rPr>
      </w:pPr>
      <w:r>
        <w:rPr>
          <w:rFonts w:eastAsia="Calibri"/>
          <w:color w:val="000000"/>
          <w:sz w:val="24"/>
          <w:szCs w:val="24"/>
        </w:rPr>
      </w:r>
    </w:p>
    <w:p>
      <w:pPr>
        <w:pStyle w:val="Normal"/>
        <w:tabs>
          <w:tab w:val="clear" w:pos="709"/>
          <w:tab w:val="left" w:pos="567" w:leader="none"/>
        </w:tabs>
        <w:suppressAutoHyphens w:val="false"/>
        <w:spacing w:lineRule="auto" w:line="276"/>
        <w:ind w:hanging="0" w:left="0" w:right="0"/>
        <w:jc w:val="both"/>
        <w:rPr>
          <w:rFonts w:ascii="Times New Roman" w:hAnsi="Times New Roman" w:eastAsia="Calibri"/>
          <w:color w:val="000000"/>
          <w:sz w:val="24"/>
          <w:szCs w:val="24"/>
        </w:rPr>
      </w:pPr>
      <w:r>
        <w:rPr>
          <w:rFonts w:eastAsia="Calibri"/>
          <w:color w:val="000000"/>
          <w:sz w:val="24"/>
          <w:szCs w:val="24"/>
        </w:rPr>
      </w:r>
    </w:p>
    <w:p>
      <w:pPr>
        <w:pStyle w:val="Normal"/>
        <w:tabs>
          <w:tab w:val="left" w:pos="709" w:leader="none"/>
        </w:tabs>
        <w:suppressAutoHyphens w:val="false"/>
        <w:spacing w:lineRule="auto" w:line="276"/>
        <w:ind w:hanging="0" w:left="0" w:right="0"/>
        <w:jc w:val="both"/>
        <w:rPr>
          <w:rFonts w:ascii="Times New Roman" w:hAnsi="Times New Roman"/>
          <w:sz w:val="24"/>
          <w:szCs w:val="24"/>
        </w:rPr>
      </w:pPr>
      <w:r>
        <w:rPr>
          <w:rFonts w:eastAsia="Calibri"/>
          <w:sz w:val="24"/>
          <w:szCs w:val="24"/>
        </w:rPr>
        <w:t xml:space="preserve">§ 3º </w:t>
      </w:r>
      <w:r>
        <w:rPr>
          <w:rFonts w:eastAsia="Calibri"/>
          <w:color w:val="000000"/>
          <w:sz w:val="24"/>
          <w:szCs w:val="24"/>
        </w:rPr>
        <w:t>Quando do pagamento, será efetuada a retenção tributária prevista na legislação aplicável.</w:t>
      </w:r>
    </w:p>
    <w:p>
      <w:pPr>
        <w:pStyle w:val="Normal"/>
        <w:tabs>
          <w:tab w:val="left" w:pos="709" w:leader="none"/>
        </w:tabs>
        <w:suppressAutoHyphens w:val="false"/>
        <w:spacing w:lineRule="auto" w:line="276"/>
        <w:ind w:hanging="0" w:left="0" w:right="0"/>
        <w:jc w:val="both"/>
        <w:rPr>
          <w:rFonts w:ascii="Times New Roman" w:hAnsi="Times New Roman" w:eastAsia="Calibri"/>
          <w:color w:val="000000"/>
          <w:sz w:val="24"/>
          <w:szCs w:val="24"/>
        </w:rPr>
      </w:pPr>
      <w:r>
        <w:rPr>
          <w:rFonts w:eastAsia="Calibri"/>
          <w:color w:val="000000"/>
          <w:sz w:val="24"/>
          <w:szCs w:val="24"/>
        </w:rPr>
      </w:r>
    </w:p>
    <w:p>
      <w:pPr>
        <w:pStyle w:val="Normal"/>
        <w:suppressAutoHyphens w:val="false"/>
        <w:spacing w:lineRule="auto" w:line="276"/>
        <w:ind w:hanging="0" w:left="0" w:right="0"/>
        <w:jc w:val="both"/>
        <w:rPr>
          <w:rFonts w:ascii="Times New Roman" w:hAnsi="Times New Roman"/>
          <w:sz w:val="24"/>
          <w:szCs w:val="24"/>
        </w:rPr>
      </w:pPr>
      <w:r>
        <w:rPr>
          <w:rFonts w:eastAsia="Calibri"/>
          <w:color w:val="000000"/>
          <w:sz w:val="24"/>
          <w:szCs w:val="24"/>
        </w:rPr>
        <w:t xml:space="preserve">§ 4º Nos casos de eventuais atrasos de pagamento, desde que a Contratada não tenha concorrido, de alguma forma, para tanto, fica convencionado que os valores serão atualizados pelo INPC do período. </w:t>
      </w:r>
    </w:p>
    <w:p>
      <w:pPr>
        <w:pStyle w:val="Normal"/>
        <w:suppressAutoHyphens w:val="false"/>
        <w:spacing w:lineRule="auto" w:line="276"/>
        <w:ind w:hanging="0" w:left="0" w:right="0"/>
        <w:jc w:val="both"/>
        <w:rPr>
          <w:rFonts w:ascii="Times New Roman" w:hAnsi="Times New Roman" w:eastAsia="Calibri"/>
          <w:color w:val="000000"/>
          <w:sz w:val="24"/>
          <w:szCs w:val="24"/>
        </w:rPr>
      </w:pPr>
      <w:r>
        <w:rPr>
          <w:rFonts w:eastAsia="Calibri"/>
          <w:color w:val="000000"/>
          <w:sz w:val="24"/>
          <w:szCs w:val="24"/>
        </w:rPr>
      </w:r>
    </w:p>
    <w:p>
      <w:pPr>
        <w:pStyle w:val="Normal"/>
        <w:suppressAutoHyphens w:val="false"/>
        <w:spacing w:lineRule="auto" w:line="276"/>
        <w:jc w:val="both"/>
        <w:rPr>
          <w:rFonts w:ascii="Times New Roman" w:hAnsi="Times New Roman"/>
          <w:sz w:val="24"/>
          <w:szCs w:val="24"/>
        </w:rPr>
      </w:pPr>
      <w:r>
        <w:rPr>
          <w:rFonts w:eastAsia="Calibri"/>
          <w:b/>
          <w:bCs/>
          <w:sz w:val="24"/>
          <w:szCs w:val="24"/>
        </w:rPr>
        <w:t>4.9. DA VIGÊNCIA CONTRATUAL E PRAZO PARA ENTREGA DOS BUQUÊS DE FLORES  NATURAIS:</w:t>
      </w:r>
    </w:p>
    <w:p>
      <w:pPr>
        <w:pStyle w:val="Normal"/>
        <w:tabs>
          <w:tab w:val="clear" w:pos="709"/>
          <w:tab w:val="left" w:pos="1701" w:leader="none"/>
        </w:tabs>
        <w:spacing w:lineRule="auto" w:line="276"/>
        <w:jc w:val="both"/>
        <w:rPr>
          <w:rFonts w:ascii="Times New Roman" w:hAnsi="Times New Roman"/>
          <w:sz w:val="24"/>
          <w:szCs w:val="24"/>
        </w:rPr>
      </w:pPr>
      <w:r>
        <w:rPr>
          <w:sz w:val="24"/>
          <w:szCs w:val="24"/>
          <w:shd w:fill="auto" w:val="clear"/>
        </w:rPr>
        <w:t>O presente instrumento terá vigência pelo período de 60 dias, a contar da assinatura do contrato.</w:t>
      </w:r>
    </w:p>
    <w:p>
      <w:pPr>
        <w:pStyle w:val="Normal"/>
        <w:tabs>
          <w:tab w:val="clear" w:pos="709"/>
          <w:tab w:val="left" w:pos="1701" w:leader="none"/>
        </w:tabs>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b/>
          <w:sz w:val="24"/>
          <w:szCs w:val="24"/>
        </w:rPr>
        <w:t>§ 1º Os buquês de flores naturais deverão ser entregues na Câmara Municipal de Vereadores no dia 10/03/2026, em horário previamente definido.</w:t>
      </w:r>
    </w:p>
    <w:p>
      <w:pPr>
        <w:pStyle w:val="Normal"/>
        <w:tabs>
          <w:tab w:val="clear" w:pos="709"/>
          <w:tab w:val="left" w:pos="1701" w:leader="none"/>
        </w:tabs>
        <w:spacing w:lineRule="auto" w:line="276"/>
        <w:jc w:val="both"/>
        <w:rPr>
          <w:rFonts w:ascii="Times New Roman" w:hAnsi="Times New Roman"/>
          <w:b/>
          <w:sz w:val="24"/>
          <w:szCs w:val="24"/>
        </w:rPr>
      </w:pPr>
      <w:r>
        <w:rPr>
          <w:b/>
          <w:sz w:val="24"/>
          <w:szCs w:val="24"/>
        </w:rPr>
      </w:r>
    </w:p>
    <w:p>
      <w:pPr>
        <w:pStyle w:val="Normal"/>
        <w:tabs>
          <w:tab w:val="clear" w:pos="709"/>
          <w:tab w:val="left" w:pos="1701" w:leader="none"/>
        </w:tabs>
        <w:spacing w:lineRule="auto" w:line="276"/>
        <w:jc w:val="both"/>
        <w:rPr>
          <w:rFonts w:ascii="Times New Roman" w:hAnsi="Times New Roman"/>
          <w:sz w:val="24"/>
          <w:szCs w:val="24"/>
        </w:rPr>
      </w:pPr>
      <w:r>
        <w:rPr>
          <w:b/>
          <w:sz w:val="24"/>
          <w:szCs w:val="24"/>
        </w:rPr>
        <w:t xml:space="preserve">§ 2º </w:t>
      </w:r>
      <w:r>
        <w:rPr>
          <w:sz w:val="24"/>
          <w:szCs w:val="24"/>
        </w:rPr>
        <w:t>Qualquer alteração no prazo suprarreferido dependerá de prévia aprovação, por escrito, do Contratante.</w:t>
      </w:r>
    </w:p>
    <w:p>
      <w:pPr>
        <w:pStyle w:val="Normal"/>
        <w:tabs>
          <w:tab w:val="clear" w:pos="709"/>
          <w:tab w:val="left" w:pos="1701" w:leader="none"/>
        </w:tabs>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b/>
          <w:bCs/>
          <w:sz w:val="24"/>
          <w:szCs w:val="24"/>
        </w:rPr>
        <w:t>4.10. REAJUSTE, REPACTUAÇÃO E REEQUILÍBRIO:</w:t>
        <w:tab/>
      </w:r>
    </w:p>
    <w:p>
      <w:pPr>
        <w:pStyle w:val="Normal"/>
        <w:spacing w:lineRule="auto" w:line="276" w:before="0" w:after="120"/>
        <w:jc w:val="both"/>
        <w:rPr>
          <w:rFonts w:ascii="Times New Roman" w:hAnsi="Times New Roman"/>
          <w:sz w:val="24"/>
          <w:szCs w:val="24"/>
        </w:rPr>
      </w:pPr>
      <w:r>
        <w:rPr>
          <w:sz w:val="24"/>
          <w:szCs w:val="24"/>
        </w:rPr>
        <w:t xml:space="preserve">O contrato será reajustado, nos termos do art. 25 da Lei Federal 14.133/2021 </w:t>
      </w:r>
      <w:r>
        <w:rPr>
          <w:color w:val="000000"/>
          <w:sz w:val="24"/>
          <w:szCs w:val="24"/>
        </w:rPr>
        <w:t xml:space="preserve">e do Decreto Municipal 34/2023, observado o interregno mínimo de um ano, a contar da data-base do orçamento estimado, mediante solicitação do contratado. </w:t>
      </w:r>
    </w:p>
    <w:p>
      <w:pPr>
        <w:pStyle w:val="Normal"/>
        <w:spacing w:lineRule="auto" w:line="276" w:before="0" w:after="120"/>
        <w:jc w:val="both"/>
        <w:rPr>
          <w:rFonts w:ascii="Times New Roman" w:hAnsi="Times New Roman"/>
          <w:sz w:val="24"/>
          <w:szCs w:val="24"/>
        </w:rPr>
      </w:pPr>
      <w:r>
        <w:rPr>
          <w:sz w:val="24"/>
          <w:szCs w:val="24"/>
        </w:rPr>
        <w:t>§ 1º Para fins de reajuste, levar-se-á como data base a data do orçamento estimado, ou da planilha orçamentária constante do processo administrativo ou do Termo de Referência.</w:t>
      </w:r>
    </w:p>
    <w:p>
      <w:pPr>
        <w:pStyle w:val="Normal"/>
        <w:spacing w:lineRule="auto" w:line="276" w:before="0" w:after="120"/>
        <w:jc w:val="both"/>
        <w:rPr>
          <w:rFonts w:ascii="Times New Roman" w:hAnsi="Times New Roman"/>
          <w:sz w:val="24"/>
          <w:szCs w:val="24"/>
        </w:rPr>
      </w:pPr>
      <w:r>
        <w:rPr>
          <w:sz w:val="24"/>
          <w:szCs w:val="24"/>
        </w:rPr>
        <w:t xml:space="preserve">§ 2º Nos reajustes subsequentes ao primeiro, o interregno mínimo de um ano será contado a partir dos efeitos financeiros do último reajuste. </w:t>
      </w:r>
    </w:p>
    <w:p>
      <w:pPr>
        <w:pStyle w:val="Normal"/>
        <w:spacing w:lineRule="auto" w:line="276" w:before="0" w:after="120"/>
        <w:jc w:val="both"/>
        <w:rPr>
          <w:rFonts w:ascii="Times New Roman" w:hAnsi="Times New Roman"/>
          <w:sz w:val="24"/>
          <w:szCs w:val="24"/>
        </w:rPr>
      </w:pPr>
      <w:r>
        <w:rPr>
          <w:sz w:val="24"/>
          <w:szCs w:val="24"/>
        </w:rPr>
        <w:t>§ 3º O valor do contrato será reajustado pelo INPC, obedecendo-se a metodologia de cálculo adequada para sua atualização.</w:t>
      </w:r>
    </w:p>
    <w:p>
      <w:pPr>
        <w:pStyle w:val="Normal"/>
        <w:spacing w:lineRule="auto" w:line="276" w:before="0" w:after="120"/>
        <w:jc w:val="both"/>
        <w:rPr>
          <w:rFonts w:ascii="Times New Roman" w:hAnsi="Times New Roman"/>
          <w:sz w:val="24"/>
          <w:szCs w:val="24"/>
        </w:rPr>
      </w:pPr>
      <w:r>
        <w:rPr>
          <w:sz w:val="24"/>
          <w:szCs w:val="24"/>
        </w:rPr>
        <w:t>§ 4º Quando, antes da data do reajustamento, já tiver ocorrido a revisão do contrato para a manutenção do seu equilíbrio econômico-financeiro, será a revisão considerada à ocasião do reajuste, para evitar acumulação injustificada.</w:t>
      </w:r>
    </w:p>
    <w:p>
      <w:pPr>
        <w:pStyle w:val="Normal"/>
        <w:spacing w:lineRule="auto" w:line="276" w:before="0" w:after="120"/>
        <w:jc w:val="both"/>
        <w:rPr>
          <w:rFonts w:ascii="Times New Roman" w:hAnsi="Times New Roman"/>
          <w:sz w:val="24"/>
          <w:szCs w:val="24"/>
        </w:rPr>
      </w:pPr>
      <w:r>
        <w:rPr>
          <w:sz w:val="24"/>
          <w:szCs w:val="24"/>
        </w:rPr>
        <w:t xml:space="preserve">§ 5º A revisão de contrato ou reequilíbrio econômico-financeiro decorre da imprevisão, consiste em um fato imprevisível ou previsível de consequências incalculáveis, anormal e extraordinário, que poderá ser concedido a qualquer tempo, e para sua concessão devem ser verificados os seguintes requisitos: </w:t>
      </w:r>
    </w:p>
    <w:p>
      <w:pPr>
        <w:pStyle w:val="Normal"/>
        <w:spacing w:lineRule="auto" w:line="276" w:before="0" w:after="120"/>
        <w:ind w:hanging="0" w:left="0" w:right="0"/>
        <w:jc w:val="both"/>
        <w:rPr>
          <w:rFonts w:ascii="Times New Roman" w:hAnsi="Times New Roman"/>
          <w:sz w:val="24"/>
          <w:szCs w:val="24"/>
        </w:rPr>
      </w:pPr>
      <w:r>
        <w:rPr>
          <w:sz w:val="24"/>
          <w:szCs w:val="24"/>
        </w:rPr>
        <w:t>a) evento futuro e incerto;</w:t>
      </w:r>
    </w:p>
    <w:p>
      <w:pPr>
        <w:pStyle w:val="Normal"/>
        <w:spacing w:lineRule="auto" w:line="276" w:before="0" w:after="120"/>
        <w:ind w:hanging="0" w:left="0" w:right="0"/>
        <w:jc w:val="both"/>
        <w:rPr>
          <w:rFonts w:ascii="Times New Roman" w:hAnsi="Times New Roman"/>
          <w:sz w:val="24"/>
          <w:szCs w:val="24"/>
        </w:rPr>
      </w:pPr>
      <w:r>
        <w:rPr>
          <w:sz w:val="24"/>
          <w:szCs w:val="24"/>
        </w:rPr>
        <w:t xml:space="preserve">b) evento ocorrido após a apresentação da proposta; </w:t>
      </w:r>
    </w:p>
    <w:p>
      <w:pPr>
        <w:pStyle w:val="Normal"/>
        <w:spacing w:lineRule="auto" w:line="276" w:before="0" w:after="120"/>
        <w:ind w:hanging="0" w:left="0" w:right="0"/>
        <w:jc w:val="both"/>
        <w:rPr>
          <w:rFonts w:ascii="Times New Roman" w:hAnsi="Times New Roman"/>
          <w:sz w:val="24"/>
          <w:szCs w:val="24"/>
        </w:rPr>
      </w:pPr>
      <w:r>
        <w:rPr>
          <w:sz w:val="24"/>
          <w:szCs w:val="24"/>
        </w:rPr>
        <w:t>c) o evento não pode ocorrer por culpa da contratada;</w:t>
      </w:r>
    </w:p>
    <w:p>
      <w:pPr>
        <w:pStyle w:val="Normal"/>
        <w:spacing w:lineRule="auto" w:line="276" w:before="0" w:after="120"/>
        <w:ind w:hanging="0" w:left="0" w:right="0"/>
        <w:jc w:val="both"/>
        <w:rPr>
          <w:rFonts w:ascii="Times New Roman" w:hAnsi="Times New Roman"/>
          <w:sz w:val="24"/>
          <w:szCs w:val="24"/>
        </w:rPr>
      </w:pPr>
      <w:r>
        <w:rPr>
          <w:sz w:val="24"/>
          <w:szCs w:val="24"/>
        </w:rPr>
        <w:t xml:space="preserve">d) possibilidade de revisão seja aventada pela contratada ou pela contratante; </w:t>
      </w:r>
    </w:p>
    <w:p>
      <w:pPr>
        <w:pStyle w:val="Normal"/>
        <w:spacing w:lineRule="auto" w:line="276" w:before="0" w:after="120"/>
        <w:ind w:hanging="0" w:left="0" w:right="0"/>
        <w:jc w:val="both"/>
        <w:rPr>
          <w:rFonts w:ascii="Times New Roman" w:hAnsi="Times New Roman"/>
          <w:sz w:val="24"/>
          <w:szCs w:val="24"/>
        </w:rPr>
      </w:pPr>
      <w:r>
        <w:rPr>
          <w:sz w:val="24"/>
          <w:szCs w:val="24"/>
        </w:rPr>
        <w:t>e) modificação consubstancial nas condições contratadas;</w:t>
      </w:r>
    </w:p>
    <w:p>
      <w:pPr>
        <w:pStyle w:val="Normal"/>
        <w:spacing w:lineRule="auto" w:line="276" w:before="0" w:after="120"/>
        <w:ind w:hanging="0" w:left="0" w:right="0"/>
        <w:jc w:val="both"/>
        <w:rPr>
          <w:rFonts w:ascii="Times New Roman" w:hAnsi="Times New Roman"/>
          <w:sz w:val="24"/>
          <w:szCs w:val="24"/>
        </w:rPr>
      </w:pPr>
      <w:r>
        <w:rPr>
          <w:sz w:val="24"/>
          <w:szCs w:val="24"/>
        </w:rPr>
        <w:t xml:space="preserve">f) haja nexo causal entre a alteração dos custos com o evento ocorrido e a necessidade de recomposição da remuneração correspondente em função da majoração ou minoração dos encargos da contratada. </w:t>
      </w:r>
    </w:p>
    <w:p>
      <w:pPr>
        <w:pStyle w:val="Normal"/>
        <w:spacing w:lineRule="auto" w:line="276" w:before="0" w:after="120"/>
        <w:ind w:hanging="0" w:left="0" w:right="0"/>
        <w:jc w:val="both"/>
        <w:rPr>
          <w:rFonts w:ascii="Times New Roman" w:hAnsi="Times New Roman"/>
          <w:sz w:val="24"/>
          <w:szCs w:val="24"/>
        </w:rPr>
      </w:pPr>
      <w:r>
        <w:rPr>
          <w:sz w:val="24"/>
          <w:szCs w:val="24"/>
        </w:rPr>
        <w:t xml:space="preserve">g) demonstração da quebra de equilíbrio econômico-financeiro do contrato, por meio de apresentação de planilha de custos e documentação comprobatória correlata que demonstre que a contratação se tornou inviável nas condições inicialmente pactuadas. </w:t>
      </w:r>
    </w:p>
    <w:p>
      <w:pPr>
        <w:pStyle w:val="Normal"/>
        <w:spacing w:lineRule="auto" w:line="276" w:before="0" w:after="120"/>
        <w:jc w:val="both"/>
        <w:rPr>
          <w:rFonts w:ascii="Times New Roman" w:hAnsi="Times New Roman"/>
          <w:sz w:val="24"/>
          <w:szCs w:val="24"/>
        </w:rPr>
      </w:pPr>
      <w:r>
        <w:rPr>
          <w:color w:val="000000"/>
          <w:sz w:val="24"/>
          <w:szCs w:val="24"/>
        </w:rPr>
        <w:t>§ 6º O pedido de restabelecimento do equilíbrio econômico-financeiro deverá ser formulado durante a vigência deste instrumento e antes de eventual prorrogação.</w:t>
      </w:r>
    </w:p>
    <w:p>
      <w:pPr>
        <w:pStyle w:val="Normal"/>
        <w:spacing w:lineRule="auto" w:line="276" w:before="0" w:after="120"/>
        <w:jc w:val="both"/>
        <w:rPr>
          <w:rFonts w:ascii="Times New Roman" w:hAnsi="Times New Roman"/>
          <w:sz w:val="24"/>
          <w:szCs w:val="24"/>
        </w:rPr>
      </w:pPr>
      <w:r>
        <w:rPr>
          <w:sz w:val="24"/>
          <w:szCs w:val="24"/>
        </w:rPr>
        <w:t xml:space="preserve">§ 7º A contratada, para fazer jus ao equilíbrio econômico-financeiro, deverá apresentar em até 10 (dez) dias após a assinatura deste instrumento planilha de custos elaborada pelo contador/técnico contábil da empresa e documentos comprobatórios dos preços apresentados. A falta da apresentação desta poderá ensejar o indeferimento do pedido pelo setor de contabilidade. </w:t>
      </w:r>
    </w:p>
    <w:p>
      <w:pPr>
        <w:pStyle w:val="Normal"/>
        <w:spacing w:lineRule="auto" w:line="276" w:before="0" w:after="120"/>
        <w:jc w:val="both"/>
        <w:rPr>
          <w:rFonts w:ascii="Times New Roman" w:hAnsi="Times New Roman"/>
          <w:sz w:val="24"/>
          <w:szCs w:val="24"/>
        </w:rPr>
      </w:pPr>
      <w:r>
        <w:rPr>
          <w:color w:val="000000"/>
          <w:sz w:val="24"/>
          <w:szCs w:val="24"/>
        </w:rPr>
        <w:t>§ 8º Solicitada repactuação ou o reequilíbrio econômico-financeiro do contrato, fica o contratante obrigado a responder em até 30 (trinta) dias da data do requerimento.</w:t>
      </w:r>
    </w:p>
    <w:p>
      <w:pPr>
        <w:pStyle w:val="Normal"/>
        <w:spacing w:lineRule="auto" w:line="276" w:before="0" w:after="120"/>
        <w:jc w:val="both"/>
        <w:rPr>
          <w:rFonts w:ascii="Times New Roman" w:hAnsi="Times New Roman"/>
          <w:sz w:val="24"/>
          <w:szCs w:val="24"/>
        </w:rPr>
      </w:pPr>
      <w:r>
        <w:rPr>
          <w:color w:val="000000"/>
          <w:sz w:val="24"/>
          <w:szCs w:val="24"/>
        </w:rPr>
        <w:t xml:space="preserve">§ 9º O não cumprimento do prazo constante no item § 8º desta cláusula não implica em deferimento do pedido por parte do contratante. </w:t>
      </w:r>
      <w:r>
        <w:rPr>
          <w:sz w:val="24"/>
          <w:szCs w:val="24"/>
        </w:rPr>
        <w:t>Todos os documentos necessários à apreciação do pedido deverão ser apresentados juntamente com o requerimento.</w:t>
        <w:tab/>
      </w:r>
    </w:p>
    <w:p>
      <w:pPr>
        <w:pStyle w:val="Normal"/>
        <w:spacing w:lineRule="auto" w:line="276" w:before="0" w:after="120"/>
        <w:jc w:val="both"/>
        <w:rPr>
          <w:rFonts w:ascii="Times New Roman" w:hAnsi="Times New Roman"/>
          <w:b/>
          <w:bCs/>
          <w:sz w:val="24"/>
          <w:szCs w:val="24"/>
        </w:rPr>
      </w:pPr>
      <w:r>
        <w:rPr>
          <w:b/>
          <w:bCs/>
          <w:sz w:val="24"/>
          <w:szCs w:val="24"/>
        </w:rPr>
      </w:r>
    </w:p>
    <w:p>
      <w:pPr>
        <w:pStyle w:val="Normal"/>
        <w:spacing w:lineRule="auto" w:line="276" w:before="0" w:after="120"/>
        <w:jc w:val="both"/>
        <w:rPr>
          <w:rFonts w:ascii="Times New Roman" w:hAnsi="Times New Roman"/>
          <w:sz w:val="24"/>
          <w:szCs w:val="24"/>
        </w:rPr>
      </w:pPr>
      <w:r>
        <w:rPr>
          <w:b/>
          <w:bCs/>
          <w:sz w:val="24"/>
          <w:szCs w:val="24"/>
        </w:rPr>
        <w:t>4.11. GARANTIA DE EXECUÇÃO:</w:t>
      </w:r>
    </w:p>
    <w:p>
      <w:pPr>
        <w:pStyle w:val="Normal"/>
        <w:spacing w:lineRule="auto" w:line="276" w:before="0" w:after="120"/>
        <w:jc w:val="both"/>
        <w:rPr>
          <w:rFonts w:ascii="Times New Roman" w:hAnsi="Times New Roman"/>
          <w:sz w:val="24"/>
          <w:szCs w:val="24"/>
        </w:rPr>
      </w:pPr>
      <w:r>
        <w:rPr>
          <w:rFonts w:eastAsia="Calibri"/>
          <w:sz w:val="24"/>
          <w:szCs w:val="24"/>
        </w:rPr>
        <w:t xml:space="preserve">Para a presente contratação não haverá exigência de garantia de execução tendo em vista que o objeto somente será pago após a sua entrega. </w:t>
      </w:r>
    </w:p>
    <w:p>
      <w:pPr>
        <w:pStyle w:val="Normal"/>
        <w:spacing w:lineRule="auto" w:line="276" w:before="0" w:after="120"/>
        <w:jc w:val="both"/>
        <w:rPr>
          <w:rFonts w:ascii="Times New Roman" w:hAnsi="Times New Roman" w:eastAsia="Calibri"/>
          <w:b w:val="false"/>
          <w:bCs w:val="false"/>
          <w:sz w:val="24"/>
          <w:szCs w:val="24"/>
        </w:rPr>
      </w:pPr>
      <w:r>
        <w:rPr>
          <w:rFonts w:eastAsia="Calibri"/>
          <w:b w:val="false"/>
          <w:bCs w:val="false"/>
          <w:sz w:val="24"/>
          <w:szCs w:val="24"/>
        </w:rPr>
      </w:r>
    </w:p>
    <w:p>
      <w:pPr>
        <w:pStyle w:val="Normal"/>
        <w:widowControl/>
        <w:suppressAutoHyphens w:val="true"/>
        <w:overflowPunct w:val="false"/>
        <w:bidi w:val="0"/>
        <w:spacing w:lineRule="auto" w:line="276"/>
        <w:ind w:hanging="0" w:left="0" w:right="0"/>
        <w:jc w:val="both"/>
        <w:rPr>
          <w:rFonts w:ascii="Times New Roman" w:hAnsi="Times New Roman"/>
          <w:sz w:val="24"/>
          <w:szCs w:val="24"/>
        </w:rPr>
      </w:pPr>
      <w:r>
        <w:rPr>
          <w:rFonts w:eastAsia="Calibri"/>
          <w:b/>
          <w:bCs/>
          <w:sz w:val="24"/>
          <w:szCs w:val="24"/>
        </w:rPr>
        <w:t>4.12. DAS OBRIGAÇÕES DA CONTRATANTE E DA CONTRATADA:</w:t>
      </w:r>
    </w:p>
    <w:p>
      <w:pPr>
        <w:pStyle w:val="Normal"/>
        <w:widowControl/>
        <w:suppressAutoHyphens w:val="true"/>
        <w:overflowPunct w:val="false"/>
        <w:bidi w:val="0"/>
        <w:spacing w:lineRule="auto" w:line="276"/>
        <w:ind w:hanging="0" w:left="0" w:right="0"/>
        <w:jc w:val="both"/>
        <w:rPr>
          <w:rFonts w:ascii="Times New Roman" w:hAnsi="Times New Roman" w:eastAsia="Calibri"/>
          <w:b/>
          <w:bCs/>
          <w:sz w:val="24"/>
          <w:szCs w:val="24"/>
        </w:rPr>
      </w:pPr>
      <w:r>
        <w:rPr>
          <w:rFonts w:eastAsia="Calibri"/>
          <w:b/>
          <w:bCs/>
          <w:sz w:val="24"/>
          <w:szCs w:val="24"/>
        </w:rPr>
      </w:r>
    </w:p>
    <w:p>
      <w:pPr>
        <w:pStyle w:val="Normal"/>
        <w:suppressAutoHyphens w:val="false"/>
        <w:spacing w:lineRule="auto" w:line="276"/>
        <w:jc w:val="both"/>
        <w:rPr>
          <w:rFonts w:ascii="Times New Roman" w:hAnsi="Times New Roman"/>
          <w:sz w:val="24"/>
          <w:szCs w:val="24"/>
        </w:rPr>
      </w:pPr>
      <w:r>
        <w:rPr>
          <w:rFonts w:eastAsia="Calibri"/>
          <w:color w:val="000000"/>
          <w:sz w:val="24"/>
          <w:szCs w:val="24"/>
        </w:rPr>
        <w:t>§ 1º São obrigações da Contratante:</w:t>
      </w:r>
    </w:p>
    <w:p>
      <w:pPr>
        <w:pStyle w:val="Normal"/>
        <w:numPr>
          <w:ilvl w:val="0"/>
          <w:numId w:val="1"/>
        </w:numPr>
        <w:tabs>
          <w:tab w:val="clear" w:pos="709"/>
          <w:tab w:val="left" w:pos="851" w:leader="none"/>
        </w:tabs>
        <w:suppressAutoHyphens w:val="false"/>
        <w:spacing w:lineRule="auto" w:line="276"/>
        <w:jc w:val="both"/>
        <w:rPr>
          <w:rFonts w:ascii="Times New Roman" w:hAnsi="Times New Roman"/>
          <w:sz w:val="24"/>
          <w:szCs w:val="24"/>
        </w:rPr>
      </w:pPr>
      <w:r>
        <w:rPr>
          <w:rFonts w:eastAsia="Calibri"/>
          <w:color w:val="000000"/>
          <w:sz w:val="24"/>
          <w:szCs w:val="24"/>
        </w:rPr>
        <w:t>Receber o objeto no prazo e condições estabelecidas no Edital e seus anexos;</w:t>
      </w:r>
      <w:r>
        <w:rPr>
          <w:sz w:val="24"/>
          <w:szCs w:val="24"/>
        </w:rPr>
        <w:t xml:space="preserve"> </w:t>
      </w:r>
    </w:p>
    <w:p>
      <w:pPr>
        <w:pStyle w:val="Normal"/>
        <w:numPr>
          <w:ilvl w:val="0"/>
          <w:numId w:val="1"/>
        </w:numPr>
        <w:tabs>
          <w:tab w:val="clear" w:pos="709"/>
          <w:tab w:val="left" w:pos="851" w:leader="none"/>
        </w:tabs>
        <w:suppressAutoHyphens w:val="false"/>
        <w:spacing w:lineRule="auto" w:line="276"/>
        <w:jc w:val="both"/>
        <w:rPr>
          <w:rFonts w:ascii="Times New Roman" w:hAnsi="Times New Roman"/>
          <w:sz w:val="24"/>
          <w:szCs w:val="24"/>
        </w:rPr>
      </w:pPr>
      <w:r>
        <w:rPr>
          <w:rFonts w:eastAsia="Calibri"/>
          <w:sz w:val="24"/>
          <w:szCs w:val="24"/>
        </w:rPr>
        <w:t>Verificar minuciosamente, no prazo fixado, a conformidade dos bens recebidos provisoriamente com as especificações constantes do Edital e da proposta, para fins de aceitação e recebimento definitivo;</w:t>
      </w:r>
    </w:p>
    <w:p>
      <w:pPr>
        <w:pStyle w:val="Normal"/>
        <w:numPr>
          <w:ilvl w:val="0"/>
          <w:numId w:val="1"/>
        </w:numPr>
        <w:tabs>
          <w:tab w:val="clear" w:pos="709"/>
          <w:tab w:val="left" w:pos="851" w:leader="none"/>
        </w:tabs>
        <w:suppressAutoHyphens w:val="false"/>
        <w:spacing w:lineRule="auto" w:line="276"/>
        <w:jc w:val="both"/>
        <w:rPr>
          <w:rFonts w:ascii="Times New Roman" w:hAnsi="Times New Roman"/>
          <w:sz w:val="24"/>
          <w:szCs w:val="24"/>
        </w:rPr>
      </w:pPr>
      <w:r>
        <w:rPr>
          <w:rFonts w:eastAsia="Calibri"/>
          <w:sz w:val="24"/>
          <w:szCs w:val="24"/>
        </w:rPr>
        <w:t>Comunicar à Contratada, por escrito, sobre imperfeições, falhas ou irregularidades verificadas no objeto fornecido, para que seja substituído, reparado ou corrigido;</w:t>
      </w:r>
    </w:p>
    <w:p>
      <w:pPr>
        <w:pStyle w:val="Normal"/>
        <w:numPr>
          <w:ilvl w:val="0"/>
          <w:numId w:val="1"/>
        </w:numPr>
        <w:tabs>
          <w:tab w:val="clear" w:pos="709"/>
          <w:tab w:val="left" w:pos="851" w:leader="none"/>
        </w:tabs>
        <w:suppressAutoHyphens w:val="false"/>
        <w:spacing w:lineRule="auto" w:line="276"/>
        <w:jc w:val="both"/>
        <w:rPr>
          <w:rFonts w:ascii="Times New Roman" w:hAnsi="Times New Roman"/>
          <w:sz w:val="24"/>
          <w:szCs w:val="24"/>
        </w:rPr>
      </w:pPr>
      <w:r>
        <w:rPr>
          <w:rFonts w:eastAsia="Calibri"/>
          <w:sz w:val="24"/>
          <w:szCs w:val="24"/>
        </w:rPr>
        <w:t>Acompanhar e fiscalizar o cumprimento das obrigações da Contratada, através de comissão/servidor especialmente designado;</w:t>
      </w:r>
    </w:p>
    <w:p>
      <w:pPr>
        <w:pStyle w:val="Normal"/>
        <w:numPr>
          <w:ilvl w:val="0"/>
          <w:numId w:val="1"/>
        </w:numPr>
        <w:tabs>
          <w:tab w:val="clear" w:pos="709"/>
          <w:tab w:val="left" w:pos="851" w:leader="none"/>
        </w:tabs>
        <w:suppressAutoHyphens w:val="false"/>
        <w:spacing w:lineRule="auto" w:line="276"/>
        <w:jc w:val="both"/>
        <w:rPr>
          <w:rFonts w:ascii="Times New Roman" w:hAnsi="Times New Roman"/>
          <w:sz w:val="24"/>
          <w:szCs w:val="24"/>
        </w:rPr>
      </w:pPr>
      <w:r>
        <w:rPr>
          <w:rFonts w:eastAsia="Calibri"/>
          <w:sz w:val="24"/>
          <w:szCs w:val="24"/>
        </w:rPr>
        <w:t>Efetuar o pagamento à Contratada</w:t>
      </w:r>
      <w:r>
        <w:rPr>
          <w:rFonts w:eastAsia="Calibri"/>
          <w:b/>
          <w:sz w:val="24"/>
          <w:szCs w:val="24"/>
        </w:rPr>
        <w:t xml:space="preserve"> </w:t>
      </w:r>
      <w:r>
        <w:rPr>
          <w:rFonts w:eastAsia="Calibri"/>
          <w:sz w:val="24"/>
          <w:szCs w:val="24"/>
        </w:rPr>
        <w:t>no valor correspondente ao fornecimento do objeto, no prazo e forma estabelecidos no Edital e seus anexos, observada a ordem cronológica para cada fonte diferenciada de recursos, nos termos do art. 141 da Lei nº 14.133/2021;</w:t>
      </w:r>
      <w:r>
        <w:rPr>
          <w:sz w:val="24"/>
          <w:szCs w:val="24"/>
        </w:rPr>
        <w:t xml:space="preserve"> </w:t>
      </w:r>
      <w:r>
        <w:rPr>
          <w:rFonts w:eastAsia="Calibri"/>
          <w:sz w:val="24"/>
          <w:szCs w:val="24"/>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pPr>
        <w:pStyle w:val="Normal"/>
        <w:numPr>
          <w:ilvl w:val="0"/>
          <w:numId w:val="0"/>
        </w:numPr>
        <w:tabs>
          <w:tab w:val="clear" w:pos="709"/>
          <w:tab w:val="left" w:pos="851" w:leader="none"/>
        </w:tabs>
        <w:suppressAutoHyphens w:val="false"/>
        <w:spacing w:lineRule="auto" w:line="276"/>
        <w:ind w:hanging="0" w:left="720"/>
        <w:jc w:val="both"/>
        <w:rPr>
          <w:rFonts w:ascii="Times New Roman" w:hAnsi="Times New Roman" w:eastAsia="Calibri"/>
          <w:sz w:val="24"/>
          <w:szCs w:val="24"/>
        </w:rPr>
      </w:pPr>
      <w:r>
        <w:rPr>
          <w:rFonts w:eastAsia="Calibri"/>
          <w:sz w:val="24"/>
          <w:szCs w:val="24"/>
        </w:rPr>
      </w:r>
    </w:p>
    <w:p>
      <w:pPr>
        <w:pStyle w:val="Normal"/>
        <w:tabs>
          <w:tab w:val="clear" w:pos="709"/>
          <w:tab w:val="left" w:pos="426" w:leader="none"/>
        </w:tabs>
        <w:suppressAutoHyphens w:val="false"/>
        <w:spacing w:lineRule="auto" w:line="276"/>
        <w:jc w:val="both"/>
        <w:rPr>
          <w:rFonts w:ascii="Times New Roman" w:hAnsi="Times New Roman"/>
          <w:sz w:val="24"/>
          <w:szCs w:val="24"/>
        </w:rPr>
      </w:pPr>
      <w:r>
        <w:rPr>
          <w:rFonts w:eastAsia="Calibri"/>
          <w:color w:val="000000"/>
          <w:sz w:val="24"/>
          <w:szCs w:val="24"/>
        </w:rPr>
        <w:t xml:space="preserve">§ 2º São obrigações da contratada: </w:t>
      </w:r>
    </w:p>
    <w:p>
      <w:pPr>
        <w:pStyle w:val="Normal"/>
        <w:numPr>
          <w:ilvl w:val="0"/>
          <w:numId w:val="2"/>
        </w:numPr>
        <w:tabs>
          <w:tab w:val="clear" w:pos="709"/>
          <w:tab w:val="left" w:pos="426" w:leader="none"/>
        </w:tabs>
        <w:suppressAutoHyphens w:val="false"/>
        <w:spacing w:lineRule="auto" w:line="276"/>
        <w:jc w:val="both"/>
        <w:rPr>
          <w:rFonts w:ascii="Times New Roman" w:hAnsi="Times New Roman"/>
          <w:sz w:val="24"/>
          <w:szCs w:val="24"/>
        </w:rPr>
      </w:pPr>
      <w:r>
        <w:rPr>
          <w:rFonts w:eastAsia="Calibri"/>
          <w:color w:val="000000"/>
          <w:sz w:val="24"/>
          <w:szCs w:val="24"/>
        </w:rPr>
        <w:t>A Contratada deve cumprir todas as obrigações constantes no Edital, seus anexos e sua proposta, assumindo como exclusivamente seus os riscos e as despesas decorrentes da boa e perfeita execução do objeto e, ainda:</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 xml:space="preserve">I - </w:t>
      </w:r>
      <w:r>
        <w:rPr>
          <w:rFonts w:eastAsia="Calibri"/>
          <w:color w:val="000000"/>
          <w:sz w:val="24"/>
          <w:szCs w:val="24"/>
        </w:rPr>
        <w:t>Efetuar a entrega do objeto em perfeitas condições, conforme especificações, prazo e local constantes no Termo de Referência e seus anexos, acompanhado da respectiva nota fiscal, na qual constarão as indicações referentes a: marca, procedência e prazo de validade;</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II -</w:t>
      </w:r>
      <w:r>
        <w:rPr>
          <w:rFonts w:eastAsia="Calibri"/>
          <w:sz w:val="24"/>
          <w:szCs w:val="24"/>
        </w:rPr>
        <w:t xml:space="preserve"> Responsabilizar-se pelos vícios e danos decorrentes do objeto, de acordo com os artigos 12, 13 e 17 a 27, do Código de Defesa do Consumidor (Lei nº 8.078, de 1990);</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III -</w:t>
      </w:r>
      <w:r>
        <w:rPr>
          <w:rFonts w:eastAsia="Calibri"/>
          <w:sz w:val="24"/>
          <w:szCs w:val="24"/>
        </w:rPr>
        <w:t xml:space="preserve"> Responsabilizar-se pelos danos causados diretamente à Administração ou a terceiros em razão da execução do contrato;</w:t>
      </w:r>
      <w:r>
        <w:rPr>
          <w:sz w:val="24"/>
          <w:szCs w:val="24"/>
        </w:rPr>
        <w:t xml:space="preserve"> </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IV -</w:t>
      </w:r>
      <w:r>
        <w:rPr>
          <w:rFonts w:eastAsia="Calibri"/>
          <w:sz w:val="24"/>
          <w:szCs w:val="24"/>
        </w:rPr>
        <w:t xml:space="preserve"> Reparar, corrigir, remover, reconstruir ou substituir, a suas expensas, no total ou em parte, o objeto do contrato em que se verificarem vícios, defeitos ou incorreções resultantes de sua execução ou de materiais nela empregados;</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V -</w:t>
      </w:r>
      <w:r>
        <w:rPr>
          <w:rFonts w:eastAsia="Calibri"/>
          <w:sz w:val="24"/>
          <w:szCs w:val="24"/>
        </w:rPr>
        <w:t xml:space="preserve"> Comunicar à Contratante, no prazo máximo de 24 (vinte e quatro) horas que antecede a data da entrega, os motivos que impossibilitem o cumprimento do prazo previsto, com a devida comprovação;</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VI -</w:t>
      </w:r>
      <w:r>
        <w:rPr>
          <w:rFonts w:eastAsia="Calibri"/>
          <w:sz w:val="24"/>
          <w:szCs w:val="24"/>
        </w:rPr>
        <w:t xml:space="preserve"> Manter, durante toda a execução do contrato, em compatibilidade com as obrigações assumidas, todas as condições de habilitação e qualificação exigidas na licitação;</w:t>
      </w:r>
      <w:r>
        <w:rPr>
          <w:sz w:val="24"/>
          <w:szCs w:val="24"/>
        </w:rPr>
        <w:t xml:space="preserve"> </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VII -</w:t>
      </w:r>
      <w:r>
        <w:rPr>
          <w:rFonts w:eastAsia="Calibri"/>
          <w:sz w:val="24"/>
          <w:szCs w:val="24"/>
        </w:rPr>
        <w:t xml:space="preserve"> Indicar preposto para representá-la durante a execução do contrato;</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VIII -</w:t>
      </w:r>
      <w:r>
        <w:rPr>
          <w:rFonts w:eastAsia="Calibri"/>
          <w:sz w:val="24"/>
          <w:szCs w:val="24"/>
        </w:rPr>
        <w:t xml:space="preserve"> Implantação de programa de integridade pelo licitante vencedor, no prazo de 6 (seis) meses, em caso de licitação de grande vulto, nos termos do artigo 25, §4º da Lei nº 14.133/2021;</w:t>
      </w:r>
    </w:p>
    <w:p>
      <w:pPr>
        <w:pStyle w:val="Normal"/>
        <w:tabs>
          <w:tab w:val="clear" w:pos="709"/>
          <w:tab w:val="left" w:pos="851" w:leader="none"/>
        </w:tabs>
        <w:suppressAutoHyphens w:val="false"/>
        <w:spacing w:lineRule="auto" w:line="276"/>
        <w:ind w:left="720" w:right="0"/>
        <w:jc w:val="both"/>
        <w:rPr>
          <w:rFonts w:ascii="Times New Roman" w:hAnsi="Times New Roman"/>
          <w:sz w:val="24"/>
          <w:szCs w:val="24"/>
        </w:rPr>
      </w:pPr>
      <w:r>
        <w:rPr>
          <w:rFonts w:eastAsia="Calibri"/>
          <w:b/>
          <w:color w:val="000000"/>
          <w:sz w:val="24"/>
          <w:szCs w:val="24"/>
        </w:rPr>
        <w:t>IX -</w:t>
      </w:r>
      <w:r>
        <w:rPr>
          <w:rFonts w:eastAsia="Calibri"/>
          <w:sz w:val="24"/>
          <w:szCs w:val="24"/>
        </w:rPr>
        <w:t xml:space="preserve"> Cumprir com a reserva de cargos prevista em lei para pessoa com deficiência ou para reabilitado da Previdência Social e para aprendiz, além de atender às regras de acessibilidade previstas na legislação, conforme disposto no art. 93 da Lei nº 8.213/1991.</w:t>
      </w:r>
    </w:p>
    <w:p>
      <w:pPr>
        <w:pStyle w:val="Normal"/>
        <w:tabs>
          <w:tab w:val="clear" w:pos="709"/>
          <w:tab w:val="left" w:pos="851" w:leader="none"/>
        </w:tabs>
        <w:suppressAutoHyphens w:val="false"/>
        <w:spacing w:lineRule="auto" w:line="276"/>
        <w:ind w:left="720" w:right="0"/>
        <w:jc w:val="both"/>
        <w:rPr>
          <w:rFonts w:ascii="Times New Roman" w:hAnsi="Times New Roman" w:eastAsia="Calibri"/>
          <w:sz w:val="24"/>
          <w:szCs w:val="24"/>
        </w:rPr>
      </w:pPr>
      <w:r>
        <w:rPr>
          <w:rFonts w:eastAsia="Calibri"/>
          <w:sz w:val="24"/>
          <w:szCs w:val="24"/>
        </w:rPr>
      </w:r>
    </w:p>
    <w:p>
      <w:pPr>
        <w:pStyle w:val="Normal"/>
        <w:widowControl/>
        <w:tabs>
          <w:tab w:val="clear" w:pos="709"/>
          <w:tab w:val="left" w:pos="851" w:leader="none"/>
        </w:tabs>
        <w:suppressAutoHyphens w:val="false"/>
        <w:overflowPunct w:val="false"/>
        <w:bidi w:val="0"/>
        <w:spacing w:lineRule="auto" w:line="276"/>
        <w:ind w:hanging="737" w:left="737" w:right="0"/>
        <w:jc w:val="both"/>
        <w:rPr>
          <w:rFonts w:ascii="Times New Roman" w:hAnsi="Times New Roman"/>
          <w:sz w:val="24"/>
          <w:szCs w:val="24"/>
        </w:rPr>
      </w:pPr>
      <w:r>
        <w:rPr>
          <w:rFonts w:eastAsia="Calibri"/>
          <w:b/>
          <w:bCs/>
          <w:sz w:val="24"/>
          <w:szCs w:val="24"/>
        </w:rPr>
        <w:t>4.13. DAS RESPONSABILIDADES DO CONTRATADO:</w:t>
      </w:r>
    </w:p>
    <w:p>
      <w:pPr>
        <w:pStyle w:val="Corpodetexto31"/>
        <w:spacing w:lineRule="auto" w:line="276" w:before="0" w:after="0"/>
        <w:jc w:val="both"/>
        <w:rPr>
          <w:rFonts w:ascii="Times New Roman" w:hAnsi="Times New Roman"/>
          <w:sz w:val="24"/>
          <w:szCs w:val="24"/>
        </w:rPr>
      </w:pPr>
      <w:r>
        <w:rPr>
          <w:bCs/>
          <w:sz w:val="24"/>
          <w:szCs w:val="24"/>
        </w:rPr>
        <w:t xml:space="preserve">A empresa CONTRATADA se compromete a executar o contrato de acordo com as disposições do Edital e em conformidade com as cláusulas constantes neste instrumento e a prestar a garantia do objeto pelo prazo de seis meses a contar da entrega. No caso da garantia ser acionada deverá ser prestada no prazo de cinco dias úteis a contar do recebimento da solicitação. O descumprimento da garantia acarretará aplicação das penalidades previstas no edital e contrato por descumprimento de cláusula do edital. As penalidades neste caso poderão ser aplicadas ainda que o prazo de vigência contratual esteja exaurido, fato que não poderá ser alegado pela contratada, pois de conhecimento prévio. </w:t>
      </w:r>
    </w:p>
    <w:p>
      <w:pPr>
        <w:pStyle w:val="Corpodetexto31"/>
        <w:spacing w:lineRule="auto" w:line="276" w:before="0" w:after="0"/>
        <w:jc w:val="both"/>
        <w:rPr>
          <w:rFonts w:ascii="Times New Roman" w:hAnsi="Times New Roman"/>
          <w:bCs/>
          <w:sz w:val="24"/>
          <w:szCs w:val="24"/>
        </w:rPr>
      </w:pPr>
      <w:r>
        <w:rPr>
          <w:bCs/>
          <w:sz w:val="24"/>
          <w:szCs w:val="24"/>
        </w:rPr>
      </w:r>
    </w:p>
    <w:p>
      <w:pPr>
        <w:pStyle w:val="Normal"/>
        <w:spacing w:lineRule="auto" w:line="276"/>
        <w:jc w:val="both"/>
        <w:rPr>
          <w:rFonts w:ascii="Times New Roman" w:hAnsi="Times New Roman"/>
          <w:sz w:val="24"/>
          <w:szCs w:val="24"/>
        </w:rPr>
      </w:pPr>
      <w:r>
        <w:rPr>
          <w:rFonts w:eastAsia="Calibri" w:cs="Times New Roman"/>
          <w:b/>
          <w:bCs/>
          <w:sz w:val="24"/>
          <w:szCs w:val="24"/>
        </w:rPr>
        <w:t>4.14. DAS INFRAÇÕES E SANÇÕES ADMINISTRATIVAS:</w:t>
      </w:r>
    </w:p>
    <w:p>
      <w:pPr>
        <w:pStyle w:val="Normal"/>
        <w:spacing w:lineRule="auto" w:line="276"/>
        <w:jc w:val="both"/>
        <w:rPr>
          <w:rFonts w:ascii="Times New Roman" w:hAnsi="Times New Roman" w:eastAsia="Calibri" w:cs="Times New Roman"/>
          <w:b/>
          <w:bCs/>
          <w:sz w:val="24"/>
          <w:szCs w:val="24"/>
        </w:rPr>
      </w:pPr>
      <w:r>
        <w:rPr>
          <w:rFonts w:eastAsia="Calibri" w:cs="Times New Roman"/>
          <w:b/>
          <w:bCs/>
          <w:sz w:val="24"/>
          <w:szCs w:val="24"/>
        </w:rPr>
      </w:r>
    </w:p>
    <w:p>
      <w:pPr>
        <w:pStyle w:val="Normal"/>
        <w:spacing w:lineRule="auto" w:line="276" w:before="0" w:after="120"/>
        <w:jc w:val="both"/>
        <w:rPr>
          <w:rFonts w:ascii="Times New Roman" w:hAnsi="Times New Roman"/>
          <w:sz w:val="24"/>
          <w:szCs w:val="24"/>
        </w:rPr>
      </w:pPr>
      <w:r>
        <w:rPr>
          <w:b/>
          <w:bCs/>
          <w:sz w:val="24"/>
          <w:szCs w:val="24"/>
        </w:rPr>
        <w:t>§ 1º Das Infrações Administrativas</w:t>
      </w:r>
    </w:p>
    <w:p>
      <w:pPr>
        <w:pStyle w:val="Normal"/>
        <w:spacing w:lineRule="auto" w:line="276" w:before="0" w:after="120"/>
        <w:jc w:val="both"/>
        <w:rPr>
          <w:rFonts w:ascii="Times New Roman" w:hAnsi="Times New Roman"/>
          <w:sz w:val="24"/>
          <w:szCs w:val="24"/>
        </w:rPr>
      </w:pPr>
      <w:r>
        <w:rPr>
          <w:sz w:val="24"/>
          <w:szCs w:val="24"/>
        </w:rPr>
        <w:t>Comete infração administrativa, nos termos da Lei Federal nº 14.133/2021, o licitante ou o contratado que:</w:t>
      </w:r>
    </w:p>
    <w:p>
      <w:pPr>
        <w:pStyle w:val="Normal"/>
        <w:spacing w:lineRule="auto" w:line="276" w:before="0" w:after="120"/>
        <w:jc w:val="both"/>
        <w:rPr>
          <w:rFonts w:ascii="Times New Roman" w:hAnsi="Times New Roman"/>
          <w:sz w:val="24"/>
          <w:szCs w:val="24"/>
        </w:rPr>
      </w:pPr>
      <w:r>
        <w:rPr>
          <w:sz w:val="24"/>
          <w:szCs w:val="24"/>
        </w:rPr>
        <w:t xml:space="preserve">a) der causa à inexecução parcial do contrato; </w:t>
      </w:r>
    </w:p>
    <w:p>
      <w:pPr>
        <w:pStyle w:val="Normal"/>
        <w:spacing w:lineRule="auto" w:line="276" w:before="0" w:after="120"/>
        <w:jc w:val="both"/>
        <w:rPr>
          <w:rFonts w:ascii="Times New Roman" w:hAnsi="Times New Roman"/>
          <w:sz w:val="24"/>
          <w:szCs w:val="24"/>
        </w:rPr>
      </w:pPr>
      <w:r>
        <w:rPr>
          <w:sz w:val="24"/>
          <w:szCs w:val="24"/>
        </w:rPr>
        <w:t xml:space="preserve">b) der causa à inexecução parcial do contrato que cause grave dano à Administração, ao funcionamento dos serviços públicos ou ao interesse coletivo; </w:t>
      </w:r>
    </w:p>
    <w:p>
      <w:pPr>
        <w:pStyle w:val="Normal"/>
        <w:spacing w:lineRule="auto" w:line="276" w:before="0" w:after="120"/>
        <w:jc w:val="both"/>
        <w:rPr>
          <w:rFonts w:ascii="Times New Roman" w:hAnsi="Times New Roman"/>
          <w:sz w:val="24"/>
          <w:szCs w:val="24"/>
        </w:rPr>
      </w:pPr>
      <w:r>
        <w:rPr>
          <w:sz w:val="24"/>
          <w:szCs w:val="24"/>
        </w:rPr>
        <w:t xml:space="preserve">c) der causa à inexecução total do contrato; </w:t>
      </w:r>
    </w:p>
    <w:p>
      <w:pPr>
        <w:pStyle w:val="Normal"/>
        <w:spacing w:lineRule="auto" w:line="276" w:before="0" w:after="120"/>
        <w:jc w:val="both"/>
        <w:rPr>
          <w:rFonts w:ascii="Times New Roman" w:hAnsi="Times New Roman"/>
          <w:sz w:val="24"/>
          <w:szCs w:val="24"/>
        </w:rPr>
      </w:pPr>
      <w:r>
        <w:rPr>
          <w:sz w:val="24"/>
          <w:szCs w:val="24"/>
        </w:rPr>
        <w:t xml:space="preserve">d) deixar de entregar a documentação exigida para o certame; </w:t>
      </w:r>
    </w:p>
    <w:p>
      <w:pPr>
        <w:pStyle w:val="Normal"/>
        <w:spacing w:lineRule="auto" w:line="276" w:before="0" w:after="120"/>
        <w:jc w:val="both"/>
        <w:rPr>
          <w:rFonts w:ascii="Times New Roman" w:hAnsi="Times New Roman"/>
          <w:sz w:val="24"/>
          <w:szCs w:val="24"/>
        </w:rPr>
      </w:pPr>
      <w:r>
        <w:rPr>
          <w:sz w:val="24"/>
          <w:szCs w:val="24"/>
        </w:rPr>
        <w:t xml:space="preserve">e) não mantenha a proposta, salvo em decorrência de fato superveniente devidamente justificado; </w:t>
      </w:r>
    </w:p>
    <w:p>
      <w:pPr>
        <w:pStyle w:val="Normal"/>
        <w:spacing w:lineRule="auto" w:line="276" w:before="0" w:after="120"/>
        <w:jc w:val="both"/>
        <w:rPr>
          <w:rFonts w:ascii="Times New Roman" w:hAnsi="Times New Roman"/>
          <w:sz w:val="24"/>
          <w:szCs w:val="24"/>
        </w:rPr>
      </w:pPr>
      <w:r>
        <w:rPr>
          <w:sz w:val="24"/>
          <w:szCs w:val="24"/>
        </w:rPr>
        <w:t xml:space="preserve">f) não celebre o contrato ou não entregue a documentação exigida para a contratação, quando convocado dentro do prazo de validade de sua proposta; </w:t>
      </w:r>
    </w:p>
    <w:p>
      <w:pPr>
        <w:pStyle w:val="Normal"/>
        <w:spacing w:lineRule="auto" w:line="276" w:before="0" w:after="120"/>
        <w:jc w:val="both"/>
        <w:rPr>
          <w:rFonts w:ascii="Times New Roman" w:hAnsi="Times New Roman"/>
          <w:sz w:val="24"/>
          <w:szCs w:val="24"/>
        </w:rPr>
      </w:pPr>
      <w:r>
        <w:rPr>
          <w:sz w:val="24"/>
          <w:szCs w:val="24"/>
        </w:rPr>
        <w:t>g) enseje o retardamento da execução ou da entrega do objeto da licitação, sem motivo justificado;</w:t>
      </w:r>
    </w:p>
    <w:p>
      <w:pPr>
        <w:pStyle w:val="Normal"/>
        <w:spacing w:lineRule="auto" w:line="276" w:before="0" w:after="120"/>
        <w:jc w:val="both"/>
        <w:rPr>
          <w:rFonts w:ascii="Times New Roman" w:hAnsi="Times New Roman"/>
          <w:sz w:val="24"/>
          <w:szCs w:val="24"/>
        </w:rPr>
      </w:pPr>
      <w:r>
        <w:rPr>
          <w:sz w:val="24"/>
          <w:szCs w:val="24"/>
        </w:rPr>
        <w:t xml:space="preserve">h) apresente declaração ou documentação falsa exigida para o certame ou preste declaração falsa durante a licitação ou a execução do contrato; </w:t>
      </w:r>
    </w:p>
    <w:p>
      <w:pPr>
        <w:pStyle w:val="Normal"/>
        <w:spacing w:lineRule="auto" w:line="276" w:before="0" w:after="120"/>
        <w:jc w:val="both"/>
        <w:rPr>
          <w:rFonts w:ascii="Times New Roman" w:hAnsi="Times New Roman"/>
          <w:sz w:val="24"/>
          <w:szCs w:val="24"/>
        </w:rPr>
      </w:pPr>
      <w:r>
        <w:rPr>
          <w:sz w:val="24"/>
          <w:szCs w:val="24"/>
        </w:rPr>
        <w:t xml:space="preserve">i) fraude a licitação ou pratique ato fraudulento na execução do contrato; </w:t>
      </w:r>
    </w:p>
    <w:p>
      <w:pPr>
        <w:pStyle w:val="Normal"/>
        <w:spacing w:lineRule="auto" w:line="276" w:before="0" w:after="120"/>
        <w:jc w:val="both"/>
        <w:rPr>
          <w:rFonts w:ascii="Times New Roman" w:hAnsi="Times New Roman"/>
          <w:sz w:val="24"/>
          <w:szCs w:val="24"/>
        </w:rPr>
      </w:pPr>
      <w:r>
        <w:rPr>
          <w:sz w:val="24"/>
          <w:szCs w:val="24"/>
        </w:rPr>
        <w:t xml:space="preserve">j) comporte-se de modo inidôneo ou cometa fraude de qualquer natureza; </w:t>
      </w:r>
    </w:p>
    <w:p>
      <w:pPr>
        <w:pStyle w:val="Normal"/>
        <w:spacing w:lineRule="auto" w:line="276" w:before="0" w:after="120"/>
        <w:jc w:val="both"/>
        <w:rPr>
          <w:rFonts w:ascii="Times New Roman" w:hAnsi="Times New Roman"/>
          <w:sz w:val="24"/>
          <w:szCs w:val="24"/>
        </w:rPr>
      </w:pPr>
      <w:r>
        <w:rPr>
          <w:sz w:val="24"/>
          <w:szCs w:val="24"/>
        </w:rPr>
        <w:t xml:space="preserve">l) pratique atos ilícitos com vistas a frustrar os objetivos da licitação; </w:t>
      </w:r>
    </w:p>
    <w:p>
      <w:pPr>
        <w:pStyle w:val="Normal"/>
        <w:spacing w:lineRule="auto" w:line="276" w:before="0" w:after="120"/>
        <w:jc w:val="both"/>
        <w:rPr>
          <w:rFonts w:ascii="Times New Roman" w:hAnsi="Times New Roman"/>
          <w:sz w:val="24"/>
          <w:szCs w:val="24"/>
        </w:rPr>
      </w:pPr>
      <w:r>
        <w:rPr>
          <w:sz w:val="24"/>
          <w:szCs w:val="24"/>
        </w:rPr>
        <w:t>m) pratique ato lesivo previsto no art. 5º da Lei nº 12.846, de 1º de agosto de 2013.</w:t>
      </w:r>
    </w:p>
    <w:p>
      <w:pPr>
        <w:pStyle w:val="Normal"/>
        <w:spacing w:lineRule="auto" w:line="276" w:before="0" w:after="120"/>
        <w:rPr>
          <w:rFonts w:ascii="Times New Roman" w:hAnsi="Times New Roman"/>
          <w:b/>
          <w:bCs/>
          <w:sz w:val="24"/>
          <w:szCs w:val="24"/>
        </w:rPr>
      </w:pPr>
      <w:r>
        <w:rPr>
          <w:b/>
          <w:bCs/>
          <w:sz w:val="24"/>
          <w:szCs w:val="24"/>
        </w:rPr>
      </w:r>
    </w:p>
    <w:p>
      <w:pPr>
        <w:pStyle w:val="Normal"/>
        <w:spacing w:lineRule="auto" w:line="276" w:before="0" w:after="120"/>
        <w:rPr>
          <w:rFonts w:ascii="Times New Roman" w:hAnsi="Times New Roman"/>
          <w:sz w:val="24"/>
          <w:szCs w:val="24"/>
        </w:rPr>
      </w:pPr>
      <w:r>
        <w:rPr>
          <w:b/>
          <w:bCs/>
          <w:sz w:val="24"/>
          <w:szCs w:val="24"/>
        </w:rPr>
        <w:t>§ 2º Do Processo Administrativo e das Sanções Administrativas</w:t>
      </w:r>
    </w:p>
    <w:p>
      <w:pPr>
        <w:pStyle w:val="Normal"/>
        <w:spacing w:lineRule="auto" w:line="276" w:before="0" w:after="120"/>
        <w:jc w:val="both"/>
        <w:rPr>
          <w:rFonts w:ascii="Times New Roman" w:hAnsi="Times New Roman"/>
          <w:sz w:val="24"/>
          <w:szCs w:val="24"/>
        </w:rPr>
      </w:pPr>
      <w:r>
        <w:rPr>
          <w:sz w:val="24"/>
          <w:szCs w:val="24"/>
        </w:rPr>
        <w:t xml:space="preserve">A aplicação de quaisquer das penalidades aqui previstas realizar-se-á em processo administrativo, assegurado o contraditório e a ampla defesa, observando-se o procedimento previsto na Lei Federal nº 14.133/2021. Serão aplicadas ao responsável pelas infrações administrativas, as seguintes sanções: </w:t>
      </w:r>
    </w:p>
    <w:p>
      <w:pPr>
        <w:pStyle w:val="Normal"/>
        <w:spacing w:lineRule="auto" w:line="276" w:before="0" w:after="120"/>
        <w:jc w:val="both"/>
        <w:rPr>
          <w:rFonts w:ascii="Times New Roman" w:hAnsi="Times New Roman"/>
          <w:sz w:val="24"/>
          <w:szCs w:val="24"/>
        </w:rPr>
      </w:pPr>
      <w:r>
        <w:rPr>
          <w:sz w:val="24"/>
          <w:szCs w:val="24"/>
        </w:rPr>
        <w:t xml:space="preserve">I- advertência, para a infração prevista na alínea “a”, </w:t>
      </w:r>
      <w:r>
        <w:rPr>
          <w:rFonts w:eastAsia="Arial"/>
          <w:color w:val="000000"/>
          <w:sz w:val="24"/>
          <w:szCs w:val="24"/>
        </w:rPr>
        <w:t>quando não se justificar a imposição de penalidade mais grave</w:t>
      </w:r>
      <w:r>
        <w:rPr>
          <w:sz w:val="24"/>
          <w:szCs w:val="24"/>
        </w:rPr>
        <w:t>;</w:t>
      </w:r>
    </w:p>
    <w:p>
      <w:pPr>
        <w:pStyle w:val="Normal"/>
        <w:spacing w:lineRule="auto" w:line="276" w:before="0" w:after="120"/>
        <w:jc w:val="both"/>
        <w:rPr>
          <w:rFonts w:ascii="Times New Roman" w:hAnsi="Times New Roman"/>
          <w:sz w:val="24"/>
          <w:szCs w:val="24"/>
        </w:rPr>
      </w:pPr>
      <w:r>
        <w:rPr>
          <w:sz w:val="24"/>
          <w:szCs w:val="24"/>
        </w:rPr>
        <w:t>II-  multa, nas modalidades:</w:t>
      </w:r>
    </w:p>
    <w:p>
      <w:pPr>
        <w:pStyle w:val="Normal"/>
        <w:spacing w:lineRule="auto" w:line="276" w:before="0" w:after="120"/>
        <w:jc w:val="both"/>
        <w:rPr>
          <w:rFonts w:ascii="Times New Roman" w:hAnsi="Times New Roman"/>
          <w:sz w:val="24"/>
          <w:szCs w:val="24"/>
        </w:rPr>
      </w:pPr>
      <w:r>
        <w:rPr>
          <w:sz w:val="24"/>
          <w:szCs w:val="24"/>
        </w:rPr>
        <w:t xml:space="preserve">1.  </w:t>
      </w:r>
      <w:r>
        <w:rPr>
          <w:color w:val="000000"/>
          <w:sz w:val="24"/>
          <w:szCs w:val="24"/>
        </w:rPr>
        <w:t xml:space="preserve">Compensatória, de até 10% sobre o valor da parcela inadimplida, para quaisquer das infrações previstas nas </w:t>
      </w:r>
      <w:r>
        <w:rPr>
          <w:sz w:val="24"/>
          <w:szCs w:val="24"/>
        </w:rPr>
        <w:t xml:space="preserve">alíneas “a” até “m”.  </w:t>
      </w:r>
    </w:p>
    <w:p>
      <w:pPr>
        <w:pStyle w:val="Normal"/>
        <w:spacing w:lineRule="auto" w:line="276" w:before="0" w:after="120"/>
        <w:jc w:val="both"/>
        <w:rPr>
          <w:rFonts w:ascii="Times New Roman" w:hAnsi="Times New Roman"/>
          <w:sz w:val="24"/>
          <w:szCs w:val="24"/>
        </w:rPr>
      </w:pPr>
      <w:r>
        <w:rPr>
          <w:sz w:val="24"/>
          <w:szCs w:val="24"/>
        </w:rPr>
        <w:t>2. Moratória, pelo atraso injustificado na execução do contrato, de até 0,5% (meio por cento) por dia de atraso injustificado sobre o valor da parcela inadimplida, até o limite de 30 (trinta) dias;</w:t>
      </w:r>
    </w:p>
    <w:p>
      <w:pPr>
        <w:pStyle w:val="Normal"/>
        <w:spacing w:lineRule="auto" w:line="276" w:before="0" w:after="120"/>
        <w:jc w:val="both"/>
        <w:rPr>
          <w:rFonts w:ascii="Times New Roman" w:hAnsi="Times New Roman"/>
          <w:sz w:val="24"/>
          <w:szCs w:val="24"/>
        </w:rPr>
      </w:pPr>
      <w:r>
        <w:rPr>
          <w:color w:val="000000"/>
          <w:sz w:val="24"/>
          <w:szCs w:val="24"/>
        </w:rPr>
        <w:t xml:space="preserve">3. Impedimento de licitar e contratar, para as infrações previstas nos itens “b” até “g”, </w:t>
      </w:r>
      <w:r>
        <w:rPr>
          <w:rFonts w:eastAsia="Arial"/>
          <w:color w:val="000000"/>
          <w:sz w:val="24"/>
          <w:szCs w:val="24"/>
        </w:rPr>
        <w:t>quando não se justificar a imposição de penalidade mais grave;</w:t>
      </w:r>
    </w:p>
    <w:p>
      <w:pPr>
        <w:pStyle w:val="Normal"/>
        <w:spacing w:lineRule="auto" w:line="276" w:before="0" w:after="120"/>
        <w:jc w:val="both"/>
        <w:rPr>
          <w:rFonts w:ascii="Times New Roman" w:hAnsi="Times New Roman"/>
          <w:sz w:val="24"/>
          <w:szCs w:val="24"/>
        </w:rPr>
      </w:pPr>
      <w:r>
        <w:rPr>
          <w:color w:val="000000"/>
          <w:sz w:val="24"/>
          <w:szCs w:val="24"/>
        </w:rPr>
        <w:t>4. Declaração de inidoneidade para licitar e contratar, para as infrações previstas nos itens “h” até  “m”.</w:t>
      </w:r>
    </w:p>
    <w:p>
      <w:pPr>
        <w:pStyle w:val="Normal"/>
        <w:spacing w:lineRule="auto" w:line="276"/>
        <w:jc w:val="both"/>
        <w:rPr>
          <w:rFonts w:ascii="Times New Roman" w:hAnsi="Times New Roman"/>
          <w:sz w:val="24"/>
          <w:szCs w:val="24"/>
        </w:rPr>
      </w:pPr>
      <w:r>
        <w:rPr>
          <w:b/>
          <w:bCs/>
          <w:color w:val="000000"/>
          <w:sz w:val="24"/>
          <w:szCs w:val="24"/>
        </w:rPr>
        <w:t>§ 3º Da Aplicação das Sanções</w:t>
      </w:r>
    </w:p>
    <w:p>
      <w:pPr>
        <w:pStyle w:val="Normal"/>
        <w:spacing w:lineRule="auto" w:line="276"/>
        <w:jc w:val="both"/>
        <w:rPr>
          <w:rFonts w:ascii="Times New Roman" w:hAnsi="Times New Roman"/>
          <w:b/>
          <w:bCs/>
          <w:color w:val="000000"/>
          <w:sz w:val="24"/>
          <w:szCs w:val="24"/>
        </w:rPr>
      </w:pPr>
      <w:r>
        <w:rPr>
          <w:b/>
          <w:bCs/>
          <w:color w:val="000000"/>
          <w:sz w:val="24"/>
          <w:szCs w:val="24"/>
        </w:rPr>
      </w:r>
    </w:p>
    <w:p>
      <w:pPr>
        <w:pStyle w:val="Normal"/>
        <w:spacing w:lineRule="auto" w:line="276"/>
        <w:jc w:val="both"/>
        <w:rPr>
          <w:rFonts w:ascii="Times New Roman" w:hAnsi="Times New Roman"/>
          <w:sz w:val="24"/>
          <w:szCs w:val="24"/>
        </w:rPr>
      </w:pPr>
      <w:r>
        <w:rPr>
          <w:sz w:val="24"/>
          <w:szCs w:val="24"/>
        </w:rPr>
        <w:t>I. As sanções aqui previstas são independentes entre si, podendo ser aplicadas isoladas ou, no caso das multas, cumulativamente, sem prejuízo de outras medidas cabíveis. A aplicação de sanções não exime o licitante ou o contratado da obrigação de reparar os danos, perdas ou prejuízos que venha a causar ao ente público. O valor previsto a título de multa compensatória será tido como mínimo da indenização devida a título de perdas e danos, competindo ao contratante provar o prejuízo excedente, nos termos do art. 416 do Código Civil - Lei nº 10.406/2002.</w:t>
      </w:r>
    </w:p>
    <w:p>
      <w:pPr>
        <w:pStyle w:val="Normal"/>
        <w:spacing w:lineRule="auto" w:line="276"/>
        <w:jc w:val="both"/>
        <w:rPr>
          <w:rFonts w:ascii="Times New Roman" w:hAnsi="Times New Roman"/>
          <w:sz w:val="24"/>
          <w:szCs w:val="24"/>
        </w:rPr>
      </w:pPr>
      <w:r>
        <w:rPr>
          <w:sz w:val="24"/>
          <w:szCs w:val="24"/>
        </w:rPr>
        <w:t xml:space="preserve">II. </w:t>
      </w:r>
      <w:r>
        <w:rPr>
          <w:rFonts w:eastAsia="Arial"/>
          <w:sz w:val="24"/>
          <w:szCs w:val="24"/>
        </w:rPr>
        <w:t>A multa de mora poderá ser convertida em multa compensatória, com a aplicação cumulada de outras sanções previstas neste Edital.</w:t>
      </w:r>
    </w:p>
    <w:p>
      <w:pPr>
        <w:pStyle w:val="Normal"/>
        <w:spacing w:lineRule="auto" w:line="276"/>
        <w:jc w:val="both"/>
        <w:rPr>
          <w:rFonts w:ascii="Times New Roman" w:hAnsi="Times New Roman"/>
          <w:sz w:val="24"/>
          <w:szCs w:val="24"/>
        </w:rPr>
      </w:pPr>
      <w:r>
        <w:rPr>
          <w:sz w:val="24"/>
          <w:szCs w:val="24"/>
        </w:rPr>
        <w:t>III. As penalidades de multa decorrentes de fatos diversos serão consideradas independentes entre si.</w:t>
      </w:r>
    </w:p>
    <w:p>
      <w:pPr>
        <w:pStyle w:val="Normal"/>
        <w:spacing w:lineRule="auto" w:line="276"/>
        <w:jc w:val="both"/>
        <w:rPr>
          <w:rFonts w:ascii="Times New Roman" w:hAnsi="Times New Roman"/>
          <w:sz w:val="24"/>
          <w:szCs w:val="24"/>
        </w:rPr>
      </w:pPr>
      <w:r>
        <w:rPr>
          <w:sz w:val="24"/>
          <w:szCs w:val="24"/>
        </w:rPr>
        <w:t xml:space="preserve">IV. O contrato, sem prejuízo das multas e demais cominações legais previstas no instrumento, poderá ser rescindido unilateralmente, por ato formal da Administração, nos casos enumerados nos incisos do </w:t>
      </w:r>
      <w:r>
        <w:rPr>
          <w:i/>
          <w:iCs/>
          <w:sz w:val="24"/>
          <w:szCs w:val="24"/>
        </w:rPr>
        <w:t>caput</w:t>
      </w:r>
      <w:r>
        <w:rPr>
          <w:sz w:val="24"/>
          <w:szCs w:val="24"/>
        </w:rPr>
        <w:t xml:space="preserve"> do art. 137 da Lei Federal nº 14.133/2021.</w:t>
      </w:r>
    </w:p>
    <w:p>
      <w:pPr>
        <w:pStyle w:val="Normal"/>
        <w:spacing w:lineRule="auto" w:line="276"/>
        <w:jc w:val="both"/>
        <w:rPr>
          <w:rFonts w:ascii="Times New Roman" w:hAnsi="Times New Roman"/>
          <w:sz w:val="24"/>
          <w:szCs w:val="24"/>
        </w:rPr>
      </w:pPr>
      <w:r>
        <w:rPr>
          <w:sz w:val="24"/>
          <w:szCs w:val="24"/>
        </w:rPr>
        <w:t>V. As sanções previstas neste item não elidem a aplicação das penalidades estabelecidas na Lei Federal nº 12.846, de 1º de agosto de 2013, conforme o disposto no seu art. 30 ou nos arts. 337-E a 337-P, Capítulo II-B, do Título XI da Parte Especial do Decreto-Lei nº 2.848, de 7 de dezembro de 1940 (Código Penal).</w:t>
      </w:r>
    </w:p>
    <w:p>
      <w:pPr>
        <w:pStyle w:val="Normal"/>
        <w:spacing w:lineRule="auto" w:line="276"/>
        <w:jc w:val="both"/>
        <w:rPr>
          <w:rFonts w:ascii="Times New Roman" w:hAnsi="Times New Roman"/>
          <w:sz w:val="24"/>
          <w:szCs w:val="24"/>
        </w:rPr>
      </w:pPr>
      <w:r>
        <w:rPr>
          <w:sz w:val="24"/>
          <w:szCs w:val="24"/>
        </w:rPr>
        <w:t>VI Serão reputados como inidôneos atos como os descritos nos arts.337-F, 337-I, 337-J, 337-K, 337-L e no art. 337-M, §§ 1º e 2º, do Capítulo II-B, do Título XI da Parte Especial do Decreto-Lei nº 2.848, de 7 de dezembro de 1940 (Código Penal).</w:t>
      </w:r>
    </w:p>
    <w:p>
      <w:pPr>
        <w:pStyle w:val="Heading6"/>
        <w:numPr>
          <w:ilvl w:val="0"/>
          <w:numId w:val="0"/>
        </w:numPr>
        <w:spacing w:lineRule="auto" w:line="276"/>
        <w:ind w:hanging="0" w:left="0" w:right="0"/>
        <w:jc w:val="both"/>
        <w:rPr>
          <w:rFonts w:ascii="Times New Roman" w:hAnsi="Times New Roman"/>
          <w:sz w:val="24"/>
          <w:szCs w:val="24"/>
        </w:rPr>
      </w:pPr>
      <w:r>
        <w:rPr>
          <w:rFonts w:cs="Times New Roman" w:ascii="Times New Roman" w:hAnsi="Times New Roman"/>
          <w:sz w:val="24"/>
          <w:szCs w:val="24"/>
        </w:rPr>
        <w:t>§ 4º Da execução da garantia contratual</w:t>
      </w:r>
    </w:p>
    <w:p>
      <w:pPr>
        <w:pStyle w:val="Normal"/>
        <w:spacing w:lineRule="auto" w:line="276"/>
        <w:jc w:val="both"/>
        <w:rPr>
          <w:rFonts w:ascii="Times New Roman" w:hAnsi="Times New Roman"/>
          <w:sz w:val="24"/>
          <w:szCs w:val="24"/>
        </w:rPr>
      </w:pPr>
      <w:r>
        <w:rPr>
          <w:sz w:val="24"/>
          <w:szCs w:val="24"/>
        </w:rPr>
        <w:t>O valor da multa poderá ser descontado da garantia contratual, havendo. Se a multa for de valor superior ao da garantia prestada, além da perda desta, responderá o contratado pela sua diferença, a</w:t>
      </w:r>
      <w:r>
        <w:rPr>
          <w:b w:val="false"/>
          <w:bCs w:val="false"/>
          <w:sz w:val="24"/>
          <w:szCs w:val="24"/>
        </w:rPr>
        <w:t xml:space="preserve"> qual será descontada dos pagamentos eventualmente devidos pelo contratante.</w:t>
      </w:r>
    </w:p>
    <w:p>
      <w:pPr>
        <w:pStyle w:val="Normal"/>
        <w:spacing w:lineRule="auto" w:line="276"/>
        <w:jc w:val="both"/>
        <w:rPr/>
      </w:pPr>
      <w:r>
        <w:rPr>
          <w:rStyle w:val="Fontepargpadro"/>
          <w:rFonts w:eastAsia="Calibri" w:cs="Times New Roman"/>
          <w:b w:val="false"/>
          <w:bCs w:val="false"/>
          <w:color w:val="000000"/>
          <w:kern w:val="0"/>
          <w:sz w:val="24"/>
          <w:szCs w:val="24"/>
          <w:u w:val="none"/>
          <w:shd w:fill="auto" w:val="clear"/>
          <w:lang w:val="pt-BR" w:eastAsia="ar-SA" w:bidi="ar-SA"/>
        </w:rPr>
        <w:t>I. Se os valores da garantia e das faturas forem insuficientes, fica o contratado obrigado a recolher a diferença devida, no prazo de 30 (trinta) dias, contados da comunicação oficial. Esgotados o prazo para pagamento do valor devido, o débito será encaminhado para inscrição em dívida ativa tributária. Não havendo garantia, a multa será cientificada ao contratado para pagamento nos mesmos prazos estipulados neste item, sob pena de inscrição em dívida ativa, após o decurso deste prazo.</w:t>
      </w:r>
    </w:p>
    <w:p>
      <w:pPr>
        <w:pStyle w:val="Normal"/>
        <w:suppressAutoHyphens w:val="false"/>
        <w:spacing w:lineRule="auto" w:line="276"/>
        <w:jc w:val="both"/>
        <w:rPr>
          <w:rStyle w:val="Fontepargpadro"/>
          <w:rFonts w:ascii="Times New Roman" w:hAnsi="Times New Roman" w:eastAsia="Calibri" w:cs="Times New Roman"/>
          <w:color w:val="000000"/>
          <w:sz w:val="24"/>
          <w:szCs w:val="24"/>
          <w:u w:val="none"/>
          <w:shd w:fill="auto" w:val="clear"/>
          <w:lang w:eastAsia="en-US"/>
        </w:rPr>
      </w:pPr>
      <w:r>
        <w:rPr>
          <w:rFonts w:eastAsia="Calibri" w:cs="Times New Roman"/>
          <w:color w:val="000000"/>
          <w:sz w:val="24"/>
          <w:szCs w:val="24"/>
          <w:u w:val="none"/>
          <w:shd w:fill="auto" w:val="clear"/>
          <w:lang w:eastAsia="en-US"/>
        </w:rPr>
      </w:r>
    </w:p>
    <w:p>
      <w:pPr>
        <w:pStyle w:val="ListParagraph"/>
        <w:widowControl/>
        <w:suppressAutoHyphens w:val="true"/>
        <w:overflowPunct w:val="false"/>
        <w:bidi w:val="0"/>
        <w:spacing w:lineRule="auto" w:line="276" w:before="0" w:after="0"/>
        <w:ind w:hanging="0" w:left="0" w:right="0"/>
        <w:contextualSpacing/>
        <w:jc w:val="both"/>
        <w:rPr/>
      </w:pPr>
      <w:r>
        <w:rPr>
          <w:rStyle w:val="Fontepargpadro"/>
          <w:rFonts w:ascii="Times New Roman" w:hAnsi="Times New Roman"/>
          <w:sz w:val="24"/>
          <w:szCs w:val="24"/>
          <w:lang w:eastAsia="en-US"/>
        </w:rPr>
        <w:t xml:space="preserve">5. </w:t>
      </w:r>
      <w:r>
        <w:rPr>
          <w:rStyle w:val="Fontepargpadro"/>
          <w:rFonts w:ascii="Times New Roman" w:hAnsi="Times New Roman"/>
          <w:b/>
          <w:bCs/>
          <w:sz w:val="24"/>
          <w:szCs w:val="24"/>
          <w:lang w:eastAsia="en-US"/>
        </w:rPr>
        <w:t>MODELO DE EXECUÇÃO DO OBJETO:</w:t>
      </w:r>
    </w:p>
    <w:p>
      <w:pPr>
        <w:pStyle w:val="BodyText"/>
        <w:widowControl/>
        <w:suppressAutoHyphens w:val="true"/>
        <w:overflowPunct w:val="false"/>
        <w:bidi w:val="0"/>
        <w:spacing w:lineRule="auto" w:line="276" w:before="0" w:after="200"/>
        <w:ind w:hanging="0" w:left="0" w:right="0"/>
        <w:contextualSpacing/>
        <w:jc w:val="both"/>
        <w:rPr/>
      </w:pPr>
      <w:r>
        <w:rPr>
          <w:rStyle w:val="Strong"/>
          <w:rFonts w:eastAsia="Calibri" w:cs="Times New Roman" w:ascii="Times New Roman" w:hAnsi="Times New Roman"/>
          <w:sz w:val="24"/>
          <w:szCs w:val="24"/>
          <w:lang w:val="pt-BR" w:eastAsia="ar-SA" w:bidi="ar-SA"/>
        </w:rPr>
        <w:t>5.1.</w:t>
      </w:r>
      <w:r>
        <w:rPr>
          <w:rStyle w:val="Fontepargpadro"/>
          <w:rFonts w:eastAsia="Calibri" w:cs="Times New Roman" w:ascii="Times New Roman" w:hAnsi="Times New Roman"/>
          <w:b w:val="false"/>
          <w:bCs w:val="false"/>
          <w:sz w:val="24"/>
          <w:szCs w:val="24"/>
          <w:lang w:val="pt-BR" w:eastAsia="ar-SA" w:bidi="ar-SA"/>
        </w:rPr>
        <w:t xml:space="preserve"> A empresa contratada deverá fornecer </w:t>
      </w:r>
      <w:r>
        <w:rPr>
          <w:rStyle w:val="Strong"/>
          <w:rFonts w:eastAsia="Calibri" w:cs="Times New Roman" w:ascii="Times New Roman" w:hAnsi="Times New Roman"/>
          <w:b w:val="false"/>
          <w:bCs w:val="false"/>
          <w:sz w:val="24"/>
          <w:szCs w:val="24"/>
          <w:lang w:val="pt-BR" w:eastAsia="ar-SA" w:bidi="ar-SA"/>
        </w:rPr>
        <w:t>buquês de flores naturais, de porte médio, confeccionados com flores frescas e de primeira qualidade</w:t>
      </w:r>
      <w:r>
        <w:rPr>
          <w:rStyle w:val="Fontepargpadro"/>
          <w:rFonts w:eastAsia="Calibri" w:cs="Times New Roman" w:ascii="Times New Roman" w:hAnsi="Times New Roman"/>
          <w:b w:val="false"/>
          <w:bCs w:val="false"/>
          <w:sz w:val="24"/>
          <w:szCs w:val="24"/>
          <w:lang w:val="pt-BR" w:eastAsia="ar-SA" w:bidi="ar-SA"/>
        </w:rPr>
        <w:t xml:space="preserve">, destinados às mulheres homenageadas durante a </w:t>
      </w:r>
      <w:r>
        <w:rPr>
          <w:rStyle w:val="Strong"/>
          <w:rFonts w:eastAsia="Calibri" w:cs="Times New Roman" w:ascii="Times New Roman" w:hAnsi="Times New Roman"/>
          <w:b w:val="false"/>
          <w:bCs w:val="false"/>
          <w:sz w:val="24"/>
          <w:szCs w:val="24"/>
          <w:lang w:val="pt-BR" w:eastAsia="ar-SA" w:bidi="ar-SA"/>
        </w:rPr>
        <w:t>Sessão Solene do dia 10/03/2026</w:t>
      </w:r>
      <w:r>
        <w:rPr>
          <w:rStyle w:val="Fontepargpadro"/>
          <w:rFonts w:eastAsia="Calibri" w:cs="Times New Roman" w:ascii="Times New Roman" w:hAnsi="Times New Roman"/>
          <w:b w:val="false"/>
          <w:bCs w:val="false"/>
          <w:sz w:val="24"/>
          <w:szCs w:val="24"/>
          <w:lang w:val="pt-BR" w:eastAsia="ar-SA" w:bidi="ar-SA"/>
        </w:rPr>
        <w:t>. A entrega deverá contemplar todos os buquês prontos para entrega, devidamente acondicionados e preservados, garantindo qualidade, frescor e apresentação estética adequada.</w:t>
      </w:r>
    </w:p>
    <w:p>
      <w:pPr>
        <w:pStyle w:val="BodyText"/>
        <w:suppressAutoHyphens w:val="true"/>
        <w:spacing w:lineRule="auto" w:line="276" w:before="0" w:after="200"/>
        <w:contextualSpacing/>
        <w:rPr>
          <w:rFonts w:ascii="Times New Roman" w:hAnsi="Times New Roman" w:eastAsia="Calibri" w:cs="Times New Roman"/>
          <w:lang w:eastAsia="ar-SA"/>
        </w:rPr>
      </w:pPr>
      <w:r>
        <w:rPr>
          <w:rStyle w:val="Strong"/>
          <w:rFonts w:eastAsia="Calibri" w:cs="Times New Roman" w:ascii="Times New Roman" w:hAnsi="Times New Roman"/>
          <w:lang w:eastAsia="ar-SA"/>
        </w:rPr>
        <w:t>5.2.</w:t>
      </w:r>
      <w:r>
        <w:rPr>
          <w:rFonts w:eastAsia="Calibri" w:cs="Times New Roman" w:ascii="Times New Roman" w:hAnsi="Times New Roman"/>
          <w:lang w:eastAsia="ar-SA"/>
        </w:rPr>
        <w:t xml:space="preserve"> O valor proposto deverá incluir todos os custos envolvidos na execução do objeto, compreendendo aquisição das flores, montagem dos buquês, acondicionamento, transporte, frete, locomoção de equipe, tributos e demais despesas necessárias ao perfeito cumprimento do contrato, sem quaisquer ônus adicionais para a Câmara Municipal.</w:t>
      </w:r>
    </w:p>
    <w:p>
      <w:pPr>
        <w:pStyle w:val="BodyText"/>
        <w:suppressAutoHyphens w:val="true"/>
        <w:spacing w:lineRule="auto" w:line="276" w:before="0" w:after="200"/>
        <w:contextualSpacing/>
        <w:rPr>
          <w:rFonts w:ascii="Times New Roman" w:hAnsi="Times New Roman" w:eastAsia="Calibri" w:cs="Times New Roman"/>
          <w:lang w:eastAsia="ar-SA"/>
        </w:rPr>
      </w:pPr>
      <w:r>
        <w:rPr>
          <w:rStyle w:val="Strong"/>
          <w:rFonts w:eastAsia="Calibri" w:cs="Times New Roman" w:ascii="Times New Roman" w:hAnsi="Times New Roman"/>
          <w:lang w:eastAsia="ar-SA"/>
        </w:rPr>
        <w:t>5.3.</w:t>
      </w:r>
      <w:r>
        <w:rPr>
          <w:rFonts w:eastAsia="Calibri" w:cs="Times New Roman" w:ascii="Times New Roman" w:hAnsi="Times New Roman"/>
          <w:lang w:eastAsia="ar-SA"/>
        </w:rPr>
        <w:t xml:space="preserve"> A empresa poderá realizar visita técnica prévia ao local do evento, se necessário, para planejar a logística de entrega dos buquês, garantindo que os arranjos cheguem em perfeitas condições e possam ser distribuídos às homenageadas de forma organizada e pontual.</w:t>
      </w:r>
    </w:p>
    <w:p>
      <w:pPr>
        <w:pStyle w:val="BodyText"/>
        <w:suppressAutoHyphens w:val="true"/>
        <w:spacing w:lineRule="auto" w:line="276" w:before="0" w:after="200"/>
        <w:contextualSpacing/>
        <w:rPr>
          <w:rFonts w:ascii="Times New Roman" w:hAnsi="Times New Roman" w:eastAsia="Calibri" w:cs="Times New Roman"/>
          <w:lang w:eastAsia="ar-SA"/>
        </w:rPr>
      </w:pPr>
      <w:r>
        <w:rPr>
          <w:rStyle w:val="Strong"/>
          <w:rFonts w:eastAsia="Calibri" w:cs="Times New Roman" w:ascii="Times New Roman" w:hAnsi="Times New Roman"/>
          <w:lang w:eastAsia="ar-SA"/>
        </w:rPr>
        <w:t>5.4.</w:t>
      </w:r>
      <w:r>
        <w:rPr>
          <w:rFonts w:eastAsia="Calibri" w:cs="Times New Roman" w:ascii="Times New Roman" w:hAnsi="Times New Roman"/>
          <w:lang w:eastAsia="ar-SA"/>
        </w:rPr>
        <w:t xml:space="preserve"> A entrega dos buquês deverá ocorrer com antecedência, em horário previamente definido  pela Câmara Municipal, de modo que todos os buquês estejam prontos para serem entregues às homenageadas no momento da homenagem.</w:t>
      </w:r>
    </w:p>
    <w:p>
      <w:pPr>
        <w:pStyle w:val="BodyText"/>
        <w:suppressAutoHyphens w:val="true"/>
        <w:spacing w:lineRule="auto" w:line="276" w:before="0" w:after="200"/>
        <w:contextualSpacing/>
        <w:rPr>
          <w:rFonts w:ascii="Times New Roman" w:hAnsi="Times New Roman" w:eastAsia="Calibri" w:cs="Times New Roman"/>
          <w:lang w:eastAsia="ar-SA"/>
        </w:rPr>
      </w:pPr>
      <w:r>
        <w:rPr>
          <w:rStyle w:val="Strong"/>
          <w:rFonts w:eastAsia="Calibri" w:cs="Times New Roman" w:ascii="Times New Roman" w:hAnsi="Times New Roman"/>
          <w:lang w:eastAsia="ar-SA"/>
        </w:rPr>
        <w:t>5.5.</w:t>
      </w:r>
      <w:r>
        <w:rPr>
          <w:rFonts w:eastAsia="Calibri" w:cs="Times New Roman" w:ascii="Times New Roman" w:hAnsi="Times New Roman"/>
          <w:lang w:eastAsia="ar-SA"/>
        </w:rPr>
        <w:t xml:space="preserve"> Todos os buquês deverão estar em perfeitas condições, com flores frescas, acondicionamento adequado e acabamento uniforme, garantindo apresentação estética e compatibilidade com o caráter solene do evento.</w:t>
      </w:r>
    </w:p>
    <w:p>
      <w:pPr>
        <w:pStyle w:val="BodyText"/>
        <w:suppressAutoHyphens w:val="true"/>
        <w:spacing w:lineRule="auto" w:line="276" w:before="0" w:after="200"/>
        <w:contextualSpacing/>
        <w:rPr>
          <w:rFonts w:ascii="Times New Roman" w:hAnsi="Times New Roman" w:eastAsia="Calibri" w:cs="Times New Roman"/>
          <w:lang w:eastAsia="ar-SA"/>
        </w:rPr>
      </w:pPr>
      <w:r>
        <w:rPr>
          <w:rStyle w:val="Strong"/>
          <w:rFonts w:eastAsia="Calibri" w:cs="Times New Roman" w:ascii="Times New Roman" w:hAnsi="Times New Roman"/>
          <w:lang w:eastAsia="ar-SA"/>
        </w:rPr>
        <w:t>5.6.</w:t>
      </w:r>
      <w:r>
        <w:rPr>
          <w:rFonts w:eastAsia="Calibri" w:cs="Times New Roman" w:ascii="Times New Roman" w:hAnsi="Times New Roman"/>
          <w:lang w:eastAsia="ar-SA"/>
        </w:rPr>
        <w:t xml:space="preserve"> O cumprimento integral das condições estabelecidas neste Termo de Referência será verificado por servidor designado pela Câmara Municipal, que atestará a entrega satisfatória dos buquês, sua qualidade e conformidade com o objeto contratado, nos termos do art. 140 da Lei nº 14.133/2021.</w:t>
      </w:r>
    </w:p>
    <w:p>
      <w:pPr>
        <w:pStyle w:val="BodyText"/>
        <w:widowControl/>
        <w:suppressAutoHyphens w:val="true"/>
        <w:overflowPunct w:val="false"/>
        <w:bidi w:val="0"/>
        <w:spacing w:lineRule="auto" w:line="276" w:before="0" w:after="200"/>
        <w:ind w:hanging="0" w:left="0" w:right="0"/>
        <w:contextualSpacing/>
        <w:jc w:val="both"/>
        <w:rPr>
          <w:rStyle w:val="Fontepargpadro"/>
          <w:rFonts w:ascii="Times New Roman" w:hAnsi="Times New Roman" w:eastAsia="Calibri" w:cs="Times New Roman"/>
          <w:b w:val="false"/>
          <w:bCs w:val="false"/>
          <w:sz w:val="24"/>
          <w:szCs w:val="24"/>
          <w:lang w:val="pt-BR" w:eastAsia="ar-SA" w:bidi="ar-SA"/>
        </w:rPr>
      </w:pPr>
      <w:r>
        <w:rPr>
          <w:rFonts w:eastAsia="Calibri" w:cs="Times New Roman" w:ascii="Times New Roman" w:hAnsi="Times New Roman"/>
          <w:b w:val="false"/>
          <w:bCs w:val="false"/>
          <w:sz w:val="24"/>
          <w:szCs w:val="24"/>
          <w:lang w:val="pt-BR" w:eastAsia="ar-SA" w:bidi="ar-SA"/>
        </w:rPr>
      </w:r>
    </w:p>
    <w:p>
      <w:pPr>
        <w:pStyle w:val="ListParagraph"/>
        <w:widowControl/>
        <w:suppressAutoHyphens w:val="true"/>
        <w:overflowPunct w:val="false"/>
        <w:bidi w:val="0"/>
        <w:spacing w:lineRule="auto" w:line="276" w:before="0" w:after="200"/>
        <w:ind w:hanging="0" w:left="0" w:right="0"/>
        <w:contextualSpacing/>
        <w:jc w:val="both"/>
        <w:rPr/>
      </w:pPr>
      <w:r>
        <w:rPr>
          <w:rStyle w:val="Fontepargpadro"/>
          <w:rFonts w:ascii="Times New Roman" w:hAnsi="Times New Roman"/>
          <w:sz w:val="24"/>
          <w:szCs w:val="24"/>
          <w:lang w:eastAsia="en-US"/>
        </w:rPr>
        <w:t xml:space="preserve">6. </w:t>
      </w:r>
      <w:r>
        <w:rPr>
          <w:rStyle w:val="Fontepargpadro"/>
          <w:rFonts w:ascii="Times New Roman" w:hAnsi="Times New Roman"/>
          <w:b/>
          <w:bCs/>
          <w:sz w:val="24"/>
          <w:szCs w:val="24"/>
          <w:lang w:eastAsia="en-US"/>
        </w:rPr>
        <w:t>MODELO DE GESTÃO DO CONTRATO</w:t>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A gestão e fiscalização do objeto contratado serão realizadas conforme o disposto na Resolução de Mesa n</w:t>
      </w:r>
      <w:r>
        <w:rPr>
          <w:rFonts w:ascii="Times New Roman" w:hAnsi="Times New Roman"/>
          <w:strike/>
          <w:sz w:val="24"/>
          <w:szCs w:val="24"/>
        </w:rPr>
        <w:t>º</w:t>
      </w:r>
      <w:r>
        <w:rPr>
          <w:rFonts w:ascii="Times New Roman" w:hAnsi="Times New Roman"/>
          <w:sz w:val="24"/>
          <w:szCs w:val="24"/>
        </w:rPr>
        <w:t xml:space="preserve"> 5, de 12 de janeiro de 2024, que Regulamenta, no âmbito da C</w:t>
      </w:r>
      <w:r>
        <w:rPr>
          <w:rFonts w:ascii="Times New Roman" w:hAnsi="Times New Roman"/>
          <w:sz w:val="24"/>
          <w:szCs w:val="24"/>
          <w:shd w:fill="auto" w:val="clear"/>
        </w:rPr>
        <w:t>âmara Municipal de Três Passos</w:t>
      </w:r>
      <w:r>
        <w:rPr>
          <w:rFonts w:ascii="Times New Roman" w:hAnsi="Times New Roman"/>
          <w:sz w:val="24"/>
          <w:szCs w:val="24"/>
        </w:rPr>
        <w:t>, as funções essenciais a que se refere a Lei n</w:t>
      </w:r>
      <w:r>
        <w:rPr>
          <w:rFonts w:ascii="Times New Roman" w:hAnsi="Times New Roman"/>
          <w:strike/>
          <w:sz w:val="24"/>
          <w:szCs w:val="24"/>
        </w:rPr>
        <w:t>º</w:t>
      </w:r>
      <w:r>
        <w:rPr>
          <w:rFonts w:ascii="Times New Roman" w:hAnsi="Times New Roman"/>
          <w:sz w:val="24"/>
          <w:szCs w:val="24"/>
        </w:rPr>
        <w:t xml:space="preserve"> 14.133, de 1</w:t>
      </w:r>
      <w:r>
        <w:rPr>
          <w:rFonts w:ascii="Times New Roman" w:hAnsi="Times New Roman"/>
          <w:strike/>
          <w:sz w:val="24"/>
          <w:szCs w:val="24"/>
        </w:rPr>
        <w:t>º</w:t>
      </w:r>
      <w:r>
        <w:rPr>
          <w:rFonts w:ascii="Times New Roman" w:hAnsi="Times New Roman"/>
          <w:sz w:val="24"/>
          <w:szCs w:val="24"/>
        </w:rPr>
        <w:t xml:space="preserve"> de abril de 2021, que estabelece normas gerais de licitação e contratação para as administrações públicas diretas, autárquicas e fundacionais da União, dos Estados, do Distrito Federal e dos Municípios.</w:t>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b/>
          <w:bCs/>
          <w:sz w:val="24"/>
          <w:szCs w:val="24"/>
        </w:rPr>
        <w:t>CRITÉRIOS DE PAGAMENTO</w:t>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 xml:space="preserve">A CONTRATANTE terá o prazo de </w:t>
      </w:r>
      <w:r>
        <w:rPr>
          <w:rFonts w:ascii="Times New Roman" w:hAnsi="Times New Roman"/>
          <w:b/>
          <w:bCs/>
          <w:sz w:val="24"/>
          <w:szCs w:val="24"/>
        </w:rPr>
        <w:t>10 (dez)</w:t>
      </w:r>
      <w:r>
        <w:rPr>
          <w:rFonts w:ascii="Times New Roman" w:hAnsi="Times New Roman"/>
          <w:sz w:val="24"/>
          <w:szCs w:val="24"/>
        </w:rPr>
        <w:t xml:space="preserve"> dias para o pagamento, a contar da data de entrega dos buquês de flores naturais.</w:t>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b/>
          <w:bCs/>
          <w:sz w:val="24"/>
          <w:szCs w:val="24"/>
        </w:rPr>
        <w:t>FORMA E CRITÉRIOS DE SELEÇÃO DO PRESTADOR DE SERVIÇOS</w:t>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 xml:space="preserve">Conforme proposto no ETP, o futuro contratado será selecionado mediante processo licitatório na modalidade Dispensa de Licitação nº </w:t>
      </w:r>
      <w:r>
        <w:rPr>
          <w:rFonts w:ascii="Times New Roman" w:hAnsi="Times New Roman"/>
          <w:sz w:val="24"/>
          <w:szCs w:val="24"/>
          <w:shd w:fill="auto" w:val="clear"/>
        </w:rPr>
        <w:t>07</w:t>
      </w:r>
      <w:r>
        <w:rPr>
          <w:rFonts w:ascii="Times New Roman" w:hAnsi="Times New Roman"/>
          <w:color w:val="000000"/>
          <w:sz w:val="24"/>
          <w:szCs w:val="24"/>
          <w:shd w:fill="auto" w:val="clear"/>
        </w:rPr>
        <w:t>/2026, com fundamento na hipótese do art. 75, Inciso II da Lei 14.133/2021.</w:t>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 xml:space="preserve">9. </w:t>
      </w:r>
      <w:r>
        <w:rPr>
          <w:rFonts w:ascii="Times New Roman" w:hAnsi="Times New Roman"/>
          <w:b/>
          <w:bCs/>
          <w:sz w:val="24"/>
          <w:szCs w:val="24"/>
        </w:rPr>
        <w:t>ESTIMATIVA DO VALOR DE CONTRATAÇÃO</w:t>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Estima-se para a contratação almejada o valor total máximo de</w:t>
      </w:r>
      <w:r>
        <w:rPr>
          <w:rStyle w:val="Fontepargpadro"/>
          <w:rFonts w:ascii="Times New Roman" w:hAnsi="Times New Roman"/>
          <w:b/>
          <w:bCs/>
          <w:sz w:val="24"/>
          <w:szCs w:val="24"/>
          <w:shd w:fill="auto" w:val="clear"/>
          <w:lang w:eastAsia="en-US"/>
        </w:rPr>
        <w:t xml:space="preserve"> </w:t>
      </w:r>
      <w:r>
        <w:rPr>
          <w:rStyle w:val="Fontepargpadro"/>
          <w:rFonts w:ascii="Times New Roman" w:hAnsi="Times New Roman"/>
          <w:b/>
          <w:bCs/>
          <w:sz w:val="24"/>
          <w:szCs w:val="24"/>
          <w:shd w:fill="auto" w:val="clear"/>
          <w:lang w:eastAsia="en-US"/>
        </w:rPr>
        <w:t>R$ 925,32 (novecentos e vinte e cinco reais com trinta e dois centavos)</w:t>
      </w:r>
      <w:r>
        <w:rPr>
          <w:rFonts w:ascii="Times New Roman" w:hAnsi="Times New Roman"/>
          <w:color w:val="auto"/>
          <w:sz w:val="24"/>
          <w:szCs w:val="24"/>
        </w:rPr>
        <w:t>,</w:t>
      </w:r>
      <w:r>
        <w:rPr>
          <w:rFonts w:ascii="Times New Roman" w:hAnsi="Times New Roman"/>
          <w:color w:val="000000"/>
          <w:sz w:val="24"/>
          <w:szCs w:val="24"/>
        </w:rPr>
        <w:t xml:space="preserve"> conforme mencionado no est</w:t>
      </w:r>
      <w:r>
        <w:rPr>
          <w:rFonts w:ascii="Times New Roman" w:hAnsi="Times New Roman"/>
          <w:sz w:val="24"/>
          <w:szCs w:val="24"/>
        </w:rPr>
        <w:t>udo técnico preliminar elaborado anteriormente ao presente termo.</w:t>
      </w:r>
    </w:p>
    <w:tbl>
      <w:tblPr>
        <w:tblW w:w="9330" w:type="dxa"/>
        <w:jc w:val="left"/>
        <w:tblInd w:w="77" w:type="dxa"/>
        <w:tblLayout w:type="fixed"/>
        <w:tblCellMar>
          <w:top w:w="55" w:type="dxa"/>
          <w:left w:w="55" w:type="dxa"/>
          <w:bottom w:w="55" w:type="dxa"/>
          <w:right w:w="55" w:type="dxa"/>
        </w:tblCellMar>
      </w:tblPr>
      <w:tblGrid>
        <w:gridCol w:w="793"/>
        <w:gridCol w:w="4305"/>
        <w:gridCol w:w="1711"/>
        <w:gridCol w:w="752"/>
        <w:gridCol w:w="918"/>
        <w:gridCol w:w="850"/>
      </w:tblGrid>
      <w:tr>
        <w:trPr/>
        <w:tc>
          <w:tcPr>
            <w:tcW w:w="9329" w:type="dxa"/>
            <w:gridSpan w:val="6"/>
            <w:tcBorders>
              <w:top w:val="single" w:sz="4" w:space="0" w:color="000000"/>
              <w:left w:val="single" w:sz="4" w:space="0" w:color="000000"/>
              <w:bottom w:val="single" w:sz="4" w:space="0" w:color="000000"/>
              <w:right w:val="single" w:sz="4" w:space="0" w:color="000000"/>
            </w:tcBorders>
            <w:shd w:color="auto" w:fill="DDDDDD"/>
          </w:tcPr>
          <w:p>
            <w:pPr>
              <w:pStyle w:val="ListParagraph"/>
              <w:widowControl w:val="false"/>
              <w:numPr>
                <w:ilvl w:val="0"/>
                <w:numId w:val="0"/>
              </w:numPr>
              <w:tabs>
                <w:tab w:val="clear" w:pos="709"/>
              </w:tabs>
              <w:spacing w:lineRule="auto" w:line="276" w:before="0" w:after="0"/>
              <w:ind w:hanging="0" w:left="0"/>
              <w:contextualSpacing/>
              <w:jc w:val="both"/>
              <w:rPr>
                <w:rFonts w:ascii="Times New Roman" w:hAnsi="Times New Roman"/>
                <w:sz w:val="24"/>
                <w:szCs w:val="24"/>
              </w:rPr>
            </w:pPr>
            <w:r>
              <w:rPr>
                <w:rFonts w:ascii="Times New Roman" w:hAnsi="Times New Roman"/>
                <w:b/>
                <w:bCs/>
                <w:i w:val="false"/>
                <w:iCs w:val="false"/>
                <w:color w:val="000000"/>
                <w:sz w:val="24"/>
                <w:szCs w:val="24"/>
              </w:rPr>
              <w:t>MATERIAIS A SEREM CONTRATAD</w:t>
            </w:r>
          </w:p>
        </w:tc>
      </w:tr>
      <w:tr>
        <w:trPr>
          <w:trHeight w:val="675" w:hRule="atLeast"/>
        </w:trPr>
        <w:tc>
          <w:tcPr>
            <w:tcW w:w="793" w:type="dxa"/>
            <w:tcBorders>
              <w:left w:val="single" w:sz="4" w:space="0" w:color="000000"/>
              <w:bottom w:val="single" w:sz="4" w:space="0" w:color="000000"/>
            </w:tcBorders>
          </w:tcPr>
          <w:p>
            <w:pPr>
              <w:pStyle w:val="Normal"/>
              <w:widowControl w:val="false"/>
              <w:tabs>
                <w:tab w:val="clear" w:pos="709"/>
              </w:tabs>
              <w:spacing w:lineRule="auto" w:line="276"/>
              <w:ind w:hanging="0" w:left="0" w:right="0"/>
              <w:jc w:val="center"/>
              <w:rPr>
                <w:rFonts w:ascii="Times New Roman" w:hAnsi="Times New Roman"/>
                <w:sz w:val="18"/>
                <w:szCs w:val="18"/>
              </w:rPr>
            </w:pPr>
            <w:r>
              <w:rPr>
                <w:b/>
                <w:bCs/>
                <w:i w:val="false"/>
                <w:iCs w:val="false"/>
                <w:sz w:val="18"/>
                <w:szCs w:val="18"/>
              </w:rPr>
              <w:t>ITEM</w:t>
            </w:r>
          </w:p>
        </w:tc>
        <w:tc>
          <w:tcPr>
            <w:tcW w:w="4305" w:type="dxa"/>
            <w:tcBorders>
              <w:left w:val="single" w:sz="4" w:space="0" w:color="000000"/>
              <w:bottom w:val="single" w:sz="4" w:space="0" w:color="000000"/>
            </w:tcBorders>
          </w:tcPr>
          <w:p>
            <w:pPr>
              <w:pStyle w:val="Normal"/>
              <w:widowControl w:val="false"/>
              <w:tabs>
                <w:tab w:val="clear" w:pos="709"/>
              </w:tabs>
              <w:spacing w:lineRule="auto" w:line="276"/>
              <w:ind w:hanging="0" w:left="0" w:right="57"/>
              <w:jc w:val="center"/>
              <w:rPr>
                <w:rFonts w:ascii="Times New Roman" w:hAnsi="Times New Roman"/>
                <w:sz w:val="18"/>
                <w:szCs w:val="18"/>
              </w:rPr>
            </w:pPr>
            <w:r>
              <w:rPr>
                <w:b/>
                <w:bCs/>
                <w:sz w:val="18"/>
                <w:szCs w:val="18"/>
              </w:rPr>
              <w:t>DESCRIÇÃO</w:t>
            </w:r>
          </w:p>
        </w:tc>
        <w:tc>
          <w:tcPr>
            <w:tcW w:w="1711" w:type="dxa"/>
            <w:tcBorders>
              <w:left w:val="single" w:sz="4" w:space="0" w:color="000000"/>
              <w:bottom w:val="single" w:sz="4" w:space="0" w:color="000000"/>
            </w:tcBorders>
          </w:tcPr>
          <w:p>
            <w:pPr>
              <w:pStyle w:val="Normal"/>
              <w:widowControl w:val="false"/>
              <w:tabs>
                <w:tab w:val="clear" w:pos="709"/>
              </w:tabs>
              <w:spacing w:lineRule="auto" w:line="276"/>
              <w:ind w:hanging="0" w:left="0" w:right="57"/>
              <w:jc w:val="center"/>
              <w:rPr>
                <w:rFonts w:ascii="Times New Roman" w:hAnsi="Times New Roman"/>
                <w:sz w:val="18"/>
                <w:szCs w:val="18"/>
              </w:rPr>
            </w:pPr>
            <w:r>
              <w:rPr>
                <w:b/>
                <w:bCs/>
                <w:sz w:val="18"/>
                <w:szCs w:val="18"/>
              </w:rPr>
              <w:t>Foto Meramente Ilustrativa</w:t>
            </w:r>
          </w:p>
        </w:tc>
        <w:tc>
          <w:tcPr>
            <w:tcW w:w="752" w:type="dxa"/>
            <w:tcBorders>
              <w:left w:val="single" w:sz="4" w:space="0" w:color="000000"/>
              <w:bottom w:val="single" w:sz="4" w:space="0" w:color="000000"/>
            </w:tcBorders>
          </w:tcPr>
          <w:p>
            <w:pPr>
              <w:pStyle w:val="Normal"/>
              <w:widowControl w:val="false"/>
              <w:tabs>
                <w:tab w:val="clear" w:pos="709"/>
              </w:tabs>
              <w:spacing w:lineRule="auto" w:line="276"/>
              <w:ind w:hanging="0" w:left="0" w:right="57"/>
              <w:jc w:val="center"/>
              <w:rPr>
                <w:rFonts w:ascii="Times New Roman" w:hAnsi="Times New Roman"/>
                <w:sz w:val="18"/>
                <w:szCs w:val="18"/>
              </w:rPr>
            </w:pPr>
            <w:r>
              <w:rPr>
                <w:b/>
                <w:bCs/>
                <w:sz w:val="18"/>
                <w:szCs w:val="18"/>
              </w:rPr>
              <w:t>QUANT.</w:t>
            </w:r>
          </w:p>
        </w:tc>
        <w:tc>
          <w:tcPr>
            <w:tcW w:w="918" w:type="dxa"/>
            <w:tcBorders>
              <w:left w:val="single" w:sz="4" w:space="0" w:color="000000"/>
              <w:bottom w:val="single" w:sz="4" w:space="0" w:color="000000"/>
            </w:tcBorders>
          </w:tcPr>
          <w:p>
            <w:pPr>
              <w:pStyle w:val="Normal"/>
              <w:widowControl w:val="false"/>
              <w:tabs>
                <w:tab w:val="clear" w:pos="709"/>
              </w:tabs>
              <w:spacing w:lineRule="auto" w:line="276"/>
              <w:ind w:hanging="0" w:left="0" w:right="57"/>
              <w:jc w:val="center"/>
              <w:rPr>
                <w:rFonts w:ascii="Times New Roman" w:hAnsi="Times New Roman"/>
                <w:sz w:val="18"/>
                <w:szCs w:val="18"/>
              </w:rPr>
            </w:pPr>
            <w:r>
              <w:rPr>
                <w:b/>
                <w:bCs/>
                <w:sz w:val="18"/>
                <w:szCs w:val="18"/>
              </w:rPr>
              <w:t>VALOR</w:t>
            </w:r>
          </w:p>
          <w:p>
            <w:pPr>
              <w:pStyle w:val="Normal"/>
              <w:widowControl w:val="false"/>
              <w:tabs>
                <w:tab w:val="clear" w:pos="709"/>
              </w:tabs>
              <w:spacing w:lineRule="auto" w:line="276"/>
              <w:ind w:hanging="0" w:left="0" w:right="57"/>
              <w:jc w:val="center"/>
              <w:rPr>
                <w:rFonts w:ascii="Times New Roman" w:hAnsi="Times New Roman"/>
                <w:sz w:val="18"/>
                <w:szCs w:val="18"/>
              </w:rPr>
            </w:pPr>
            <w:r>
              <w:rPr>
                <w:b/>
                <w:bCs/>
                <w:sz w:val="18"/>
                <w:szCs w:val="18"/>
              </w:rPr>
              <w:t>UNIT.</w:t>
            </w:r>
          </w:p>
        </w:tc>
        <w:tc>
          <w:tcPr>
            <w:tcW w:w="850"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76"/>
              <w:ind w:hanging="0" w:left="0" w:right="57"/>
              <w:jc w:val="center"/>
              <w:rPr>
                <w:rFonts w:ascii="Times New Roman" w:hAnsi="Times New Roman"/>
                <w:sz w:val="18"/>
                <w:szCs w:val="18"/>
              </w:rPr>
            </w:pPr>
            <w:r>
              <w:rPr>
                <w:b/>
                <w:bCs/>
                <w:sz w:val="18"/>
                <w:szCs w:val="18"/>
              </w:rPr>
              <w:t>VALOR TOTAL</w:t>
            </w:r>
          </w:p>
        </w:tc>
      </w:tr>
      <w:tr>
        <w:trPr>
          <w:trHeight w:val="589" w:hRule="atLeast"/>
        </w:trPr>
        <w:tc>
          <w:tcPr>
            <w:tcW w:w="793" w:type="dxa"/>
            <w:tcBorders>
              <w:left w:val="single" w:sz="4" w:space="0" w:color="000000"/>
              <w:bottom w:val="single" w:sz="4" w:space="0" w:color="000000"/>
            </w:tcBorders>
          </w:tcPr>
          <w:p>
            <w:pPr>
              <w:pStyle w:val="Normal"/>
              <w:widowControl w:val="false"/>
              <w:tabs>
                <w:tab w:val="clear" w:pos="709"/>
              </w:tabs>
              <w:spacing w:lineRule="auto" w:line="276"/>
              <w:ind w:hanging="0" w:left="0" w:right="57"/>
              <w:jc w:val="center"/>
              <w:rPr>
                <w:rFonts w:ascii="Times New Roman" w:hAnsi="Times New Roman"/>
                <w:sz w:val="24"/>
                <w:szCs w:val="24"/>
              </w:rPr>
            </w:pPr>
            <w:r>
              <w:rPr>
                <w:b/>
                <w:bCs/>
                <w:sz w:val="24"/>
                <w:szCs w:val="24"/>
              </w:rPr>
              <w:t>01</w:t>
            </w:r>
          </w:p>
        </w:tc>
        <w:tc>
          <w:tcPr>
            <w:tcW w:w="430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40" w:before="0" w:after="283"/>
              <w:ind w:hanging="0" w:left="57" w:right="0"/>
              <w:jc w:val="both"/>
              <w:rPr/>
            </w:pPr>
            <w:r>
              <w:rPr>
                <w:rStyle w:val="Strong"/>
                <w:rFonts w:cs="Times New Roman"/>
                <w:b/>
                <w:bCs/>
                <w:sz w:val="24"/>
                <w:szCs w:val="24"/>
              </w:rPr>
              <w:t>BUQUÊS DE FLORES NATURAIS</w:t>
            </w:r>
            <w:r>
              <w:rPr>
                <w:rFonts w:cs="Times New Roman"/>
                <w:b/>
                <w:bCs/>
                <w:sz w:val="24"/>
                <w:szCs w:val="24"/>
              </w:rPr>
              <w:t>, DE PORTE MÉDIO, CONFECCIONADOS COM FLORES FRESCAS, DE PRIMEIRA QUALIDADE, DESTINADOS À HOMENAGEM EM SESSÃO SOLENE DO DIA 10/03/2026.</w:t>
            </w:r>
          </w:p>
          <w:p>
            <w:pPr>
              <w:pStyle w:val="Normal"/>
              <w:widowControl w:val="false"/>
              <w:numPr>
                <w:ilvl w:val="0"/>
                <w:numId w:val="0"/>
              </w:numPr>
              <w:suppressAutoHyphens w:val="true"/>
              <w:overflowPunct w:val="true"/>
              <w:bidi w:val="0"/>
              <w:spacing w:lineRule="auto" w:line="240" w:before="0" w:after="283"/>
              <w:ind w:hanging="0" w:left="57" w:right="0"/>
              <w:jc w:val="both"/>
              <w:rPr>
                <w:rFonts w:ascii="Times New Roman" w:hAnsi="Times New Roman"/>
                <w:b w:val="false"/>
                <w:bCs w:val="false"/>
                <w:sz w:val="24"/>
                <w:szCs w:val="24"/>
              </w:rPr>
            </w:pPr>
            <w:r>
              <w:rPr>
                <w:rFonts w:cs="Times New Roman"/>
                <w:b w:val="false"/>
                <w:bCs w:val="false"/>
                <w:sz w:val="24"/>
                <w:szCs w:val="24"/>
                <w:u w:val="none"/>
              </w:rPr>
              <w:t>Composição mínima do buquê:</w:t>
            </w:r>
          </w:p>
          <w:p>
            <w:pPr>
              <w:pStyle w:val="Normal"/>
              <w:widowControl w:val="false"/>
              <w:numPr>
                <w:ilvl w:val="0"/>
                <w:numId w:val="0"/>
              </w:numPr>
              <w:suppressAutoHyphens w:val="true"/>
              <w:overflowPunct w:val="true"/>
              <w:bidi w:val="0"/>
              <w:spacing w:lineRule="auto" w:line="240" w:before="0" w:after="283"/>
              <w:ind w:hanging="0" w:left="57" w:right="0"/>
              <w:jc w:val="both"/>
              <w:rPr>
                <w:rFonts w:ascii="Times New Roman" w:hAnsi="Times New Roman"/>
                <w:b w:val="false"/>
                <w:bCs w:val="false"/>
                <w:sz w:val="24"/>
                <w:szCs w:val="24"/>
              </w:rPr>
            </w:pPr>
            <w:r>
              <w:rPr>
                <w:rFonts w:cs="Times New Roman"/>
                <w:b w:val="false"/>
                <w:bCs w:val="false"/>
                <w:sz w:val="24"/>
                <w:szCs w:val="24"/>
              </w:rPr>
              <w:t>O buquê deverá ser montado artesanalmente e conter, no mínimo:</w:t>
            </w:r>
          </w:p>
          <w:p>
            <w:pPr>
              <w:pStyle w:val="BodyText"/>
              <w:widowControl w:val="false"/>
              <w:numPr>
                <w:ilvl w:val="0"/>
                <w:numId w:val="2"/>
              </w:numPr>
              <w:tabs>
                <w:tab w:val="clear" w:pos="709"/>
                <w:tab w:val="left" w:pos="0" w:leader="none"/>
              </w:tabs>
              <w:spacing w:lineRule="auto" w:line="240" w:before="0" w:after="283"/>
              <w:jc w:val="left"/>
              <w:rPr/>
            </w:pPr>
            <w:r>
              <w:rPr>
                <w:rFonts w:cs="Times New Roman" w:ascii="Times New Roman" w:hAnsi="Times New Roman"/>
                <w:b w:val="false"/>
                <w:bCs w:val="false"/>
                <w:sz w:val="24"/>
                <w:szCs w:val="24"/>
              </w:rPr>
              <w:t xml:space="preserve">01 (uma) </w:t>
            </w:r>
            <w:r>
              <w:rPr>
                <w:rStyle w:val="Strong"/>
                <w:rFonts w:cs="Times New Roman" w:ascii="Times New Roman" w:hAnsi="Times New Roman"/>
                <w:b w:val="false"/>
                <w:bCs w:val="false"/>
                <w:sz w:val="24"/>
                <w:szCs w:val="24"/>
              </w:rPr>
              <w:t>rosa natural na cor rosa</w:t>
            </w:r>
            <w:r>
              <w:rPr>
                <w:rFonts w:cs="Times New Roman" w:ascii="Times New Roman" w:hAnsi="Times New Roman"/>
                <w:b w:val="false"/>
                <w:bCs w:val="false"/>
                <w:sz w:val="24"/>
                <w:szCs w:val="24"/>
              </w:rPr>
              <w:t xml:space="preserve"> (rosa claro ou médio), em estágio de abertura adequado (semiaberta a aberta), íntegra e sem avarias, posicionada como flor de destaque central;</w:t>
            </w:r>
          </w:p>
          <w:p>
            <w:pPr>
              <w:pStyle w:val="BodyText"/>
              <w:widowControl w:val="false"/>
              <w:numPr>
                <w:ilvl w:val="0"/>
                <w:numId w:val="2"/>
              </w:numPr>
              <w:tabs>
                <w:tab w:val="clear" w:pos="709"/>
                <w:tab w:val="left" w:pos="0" w:leader="none"/>
              </w:tabs>
              <w:spacing w:lineRule="auto" w:line="240" w:before="0" w:after="283"/>
              <w:jc w:val="left"/>
              <w:rPr/>
            </w:pPr>
            <w:r>
              <w:rPr>
                <w:rFonts w:cs="Times New Roman" w:ascii="Times New Roman" w:hAnsi="Times New Roman"/>
                <w:b w:val="false"/>
                <w:bCs w:val="false"/>
                <w:sz w:val="24"/>
                <w:szCs w:val="24"/>
              </w:rPr>
              <w:t xml:space="preserve">07 (sete) a 09 (nove) hastes de </w:t>
            </w:r>
            <w:r>
              <w:rPr>
                <w:rStyle w:val="Strong"/>
                <w:rFonts w:cs="Times New Roman" w:ascii="Times New Roman" w:hAnsi="Times New Roman"/>
                <w:b w:val="false"/>
                <w:bCs w:val="false"/>
                <w:sz w:val="24"/>
                <w:szCs w:val="24"/>
              </w:rPr>
              <w:t>crisântemos naturais</w:t>
            </w:r>
            <w:r>
              <w:rPr>
                <w:rFonts w:cs="Times New Roman" w:ascii="Times New Roman" w:hAnsi="Times New Roman"/>
                <w:b w:val="false"/>
                <w:bCs w:val="false"/>
                <w:sz w:val="24"/>
                <w:szCs w:val="24"/>
              </w:rPr>
              <w:t xml:space="preserve"> em tons de rosa, lilás e/ou vinho, harmonizados entre si;</w:t>
            </w:r>
          </w:p>
          <w:p>
            <w:pPr>
              <w:pStyle w:val="BodyText"/>
              <w:widowControl w:val="false"/>
              <w:numPr>
                <w:ilvl w:val="0"/>
                <w:numId w:val="2"/>
              </w:numPr>
              <w:tabs>
                <w:tab w:val="clear" w:pos="709"/>
                <w:tab w:val="left" w:pos="0" w:leader="none"/>
              </w:tabs>
              <w:spacing w:lineRule="auto" w:line="240" w:before="0" w:after="283"/>
              <w:jc w:val="left"/>
              <w:rPr/>
            </w:pPr>
            <w:r>
              <w:rPr>
                <w:rFonts w:cs="Times New Roman" w:ascii="Times New Roman" w:hAnsi="Times New Roman"/>
                <w:b w:val="false"/>
                <w:bCs w:val="false"/>
                <w:sz w:val="24"/>
                <w:szCs w:val="24"/>
              </w:rPr>
              <w:t xml:space="preserve">Flores complementares do tipo </w:t>
            </w:r>
            <w:r>
              <w:rPr>
                <w:rStyle w:val="Strong"/>
                <w:rFonts w:cs="Times New Roman" w:ascii="Times New Roman" w:hAnsi="Times New Roman"/>
                <w:b w:val="false"/>
                <w:bCs w:val="false"/>
                <w:sz w:val="24"/>
                <w:szCs w:val="24"/>
              </w:rPr>
              <w:t>mosquitinho (gypsophila) branco</w:t>
            </w:r>
            <w:r>
              <w:rPr>
                <w:rFonts w:cs="Times New Roman" w:ascii="Times New Roman" w:hAnsi="Times New Roman"/>
                <w:b w:val="false"/>
                <w:bCs w:val="false"/>
                <w:sz w:val="24"/>
                <w:szCs w:val="24"/>
              </w:rPr>
              <w:t>, para composição e acabamento;</w:t>
            </w:r>
          </w:p>
          <w:p>
            <w:pPr>
              <w:pStyle w:val="BodyText"/>
              <w:widowControl w:val="false"/>
              <w:numPr>
                <w:ilvl w:val="0"/>
                <w:numId w:val="2"/>
              </w:numPr>
              <w:tabs>
                <w:tab w:val="clear" w:pos="709"/>
                <w:tab w:val="left" w:pos="0" w:leader="none"/>
              </w:tabs>
              <w:spacing w:lineRule="auto" w:line="240" w:before="0" w:after="283"/>
              <w:jc w:val="left"/>
              <w:rPr>
                <w:rFonts w:ascii="Times New Roman" w:hAnsi="Times New Roman"/>
                <w:b w:val="false"/>
                <w:bCs w:val="false"/>
                <w:sz w:val="24"/>
                <w:szCs w:val="24"/>
              </w:rPr>
            </w:pPr>
            <w:r>
              <w:rPr>
                <w:rFonts w:cs="Times New Roman" w:ascii="Times New Roman" w:hAnsi="Times New Roman"/>
                <w:b w:val="false"/>
                <w:bCs w:val="false"/>
                <w:sz w:val="24"/>
                <w:szCs w:val="24"/>
              </w:rPr>
              <w:t>Folhagens verdes ornamentais naturais (ex.: tuia, samambaia, ruscus ou similares), garantindo volume, estrutura e equilíbrio estético;</w:t>
            </w:r>
          </w:p>
          <w:p>
            <w:pPr>
              <w:pStyle w:val="BodyText"/>
              <w:widowControl w:val="false"/>
              <w:numPr>
                <w:ilvl w:val="0"/>
                <w:numId w:val="2"/>
              </w:numPr>
              <w:tabs>
                <w:tab w:val="clear" w:pos="709"/>
                <w:tab w:val="left" w:pos="0" w:leader="none"/>
              </w:tabs>
              <w:spacing w:lineRule="auto" w:line="240" w:before="0" w:after="283"/>
              <w:jc w:val="left"/>
              <w:rPr>
                <w:rFonts w:ascii="Times New Roman" w:hAnsi="Times New Roman"/>
                <w:b w:val="false"/>
                <w:bCs w:val="false"/>
                <w:sz w:val="24"/>
                <w:szCs w:val="24"/>
              </w:rPr>
            </w:pPr>
            <w:r>
              <w:rPr>
                <w:rFonts w:cs="Times New Roman" w:ascii="Times New Roman" w:hAnsi="Times New Roman"/>
                <w:b w:val="false"/>
                <w:bCs w:val="false"/>
                <w:sz w:val="24"/>
                <w:szCs w:val="24"/>
              </w:rPr>
              <w:t>Elementos verdes ou florais de preenchimento, se necessários, para manter proporcionalidade e padrão visual.</w:t>
            </w:r>
          </w:p>
          <w:p>
            <w:pPr>
              <w:pStyle w:val="BodyText"/>
              <w:widowControl w:val="false"/>
              <w:numPr>
                <w:ilvl w:val="0"/>
                <w:numId w:val="0"/>
              </w:numPr>
              <w:tabs>
                <w:tab w:val="clear" w:pos="709"/>
                <w:tab w:val="left" w:pos="0" w:leader="none"/>
              </w:tabs>
              <w:suppressAutoHyphens w:val="true"/>
              <w:overflowPunct w:val="true"/>
              <w:bidi w:val="0"/>
              <w:spacing w:lineRule="auto" w:line="240" w:before="0" w:after="283"/>
              <w:ind w:hanging="0" w:left="0" w:right="0"/>
              <w:jc w:val="left"/>
              <w:rPr>
                <w:rFonts w:ascii="Times New Roman" w:hAnsi="Times New Roman"/>
                <w:b w:val="false"/>
                <w:bCs w:val="false"/>
                <w:sz w:val="24"/>
                <w:szCs w:val="24"/>
              </w:rPr>
            </w:pPr>
            <w:r>
              <w:rPr>
                <w:rFonts w:cs="Times New Roman" w:ascii="Times New Roman" w:hAnsi="Times New Roman"/>
                <w:b w:val="false"/>
                <w:bCs w:val="false"/>
                <w:sz w:val="24"/>
                <w:szCs w:val="24"/>
                <w:u w:val="none"/>
              </w:rPr>
              <w:t>Padrão de montagem e acabamento:</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b w:val="false"/>
                <w:bCs w:val="false"/>
                <w:sz w:val="24"/>
                <w:szCs w:val="24"/>
              </w:rPr>
            </w:pPr>
            <w:r>
              <w:rPr>
                <w:rFonts w:cs="Times New Roman" w:ascii="Times New Roman" w:hAnsi="Times New Roman"/>
                <w:b w:val="false"/>
                <w:bCs w:val="false"/>
                <w:sz w:val="24"/>
                <w:szCs w:val="24"/>
              </w:rPr>
              <w:t>Montagem manual, com acabamento refinado e simétrico;</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b w:val="false"/>
                <w:bCs w:val="false"/>
                <w:sz w:val="24"/>
                <w:szCs w:val="24"/>
              </w:rPr>
            </w:pPr>
            <w:r>
              <w:rPr>
                <w:rFonts w:cs="Times New Roman" w:ascii="Times New Roman" w:hAnsi="Times New Roman"/>
                <w:b w:val="false"/>
                <w:bCs w:val="false"/>
                <w:sz w:val="24"/>
                <w:szCs w:val="24"/>
              </w:rPr>
              <w:t>Estrutura firme, devidamente amarrada e acondicionada;</w:t>
            </w:r>
          </w:p>
          <w:p>
            <w:pPr>
              <w:pStyle w:val="BodyText"/>
              <w:widowControl w:val="false"/>
              <w:numPr>
                <w:ilvl w:val="0"/>
                <w:numId w:val="2"/>
              </w:numPr>
              <w:tabs>
                <w:tab w:val="clear" w:pos="709"/>
                <w:tab w:val="left" w:pos="0" w:leader="none"/>
              </w:tabs>
              <w:spacing w:lineRule="auto" w:line="240" w:before="0" w:after="112"/>
              <w:jc w:val="left"/>
              <w:rPr/>
            </w:pPr>
            <w:r>
              <w:rPr>
                <w:rFonts w:cs="Times New Roman" w:ascii="Times New Roman" w:hAnsi="Times New Roman"/>
                <w:b w:val="false"/>
                <w:bCs w:val="false"/>
                <w:sz w:val="24"/>
                <w:szCs w:val="24"/>
              </w:rPr>
              <w:t xml:space="preserve">Envolvimento em </w:t>
            </w:r>
            <w:r>
              <w:rPr>
                <w:rStyle w:val="Strong"/>
                <w:rFonts w:cs="Times New Roman" w:ascii="Times New Roman" w:hAnsi="Times New Roman"/>
                <w:b w:val="false"/>
                <w:bCs w:val="false"/>
                <w:sz w:val="24"/>
                <w:szCs w:val="24"/>
              </w:rPr>
              <w:t>papel decorativo em tom neutro (kraft na cor rosa)</w:t>
            </w:r>
            <w:r>
              <w:rPr>
                <w:rFonts w:cs="Times New Roman" w:ascii="Times New Roman" w:hAnsi="Times New Roman"/>
                <w:b w:val="false"/>
                <w:bCs w:val="false"/>
                <w:sz w:val="24"/>
                <w:szCs w:val="24"/>
              </w:rPr>
              <w:t>;</w:t>
            </w:r>
          </w:p>
          <w:p>
            <w:pPr>
              <w:pStyle w:val="BodyText"/>
              <w:widowControl w:val="false"/>
              <w:numPr>
                <w:ilvl w:val="0"/>
                <w:numId w:val="2"/>
              </w:numPr>
              <w:tabs>
                <w:tab w:val="clear" w:pos="709"/>
                <w:tab w:val="left" w:pos="0" w:leader="none"/>
              </w:tabs>
              <w:spacing w:lineRule="auto" w:line="240" w:before="0" w:after="112"/>
              <w:jc w:val="left"/>
              <w:rPr/>
            </w:pPr>
            <w:r>
              <w:rPr>
                <w:rFonts w:cs="Times New Roman" w:ascii="Times New Roman" w:hAnsi="Times New Roman"/>
                <w:b w:val="false"/>
                <w:bCs w:val="false"/>
                <w:sz w:val="24"/>
                <w:szCs w:val="24"/>
              </w:rPr>
              <w:t xml:space="preserve">Finalização com </w:t>
            </w:r>
            <w:r>
              <w:rPr>
                <w:rStyle w:val="Strong"/>
                <w:rFonts w:cs="Times New Roman" w:ascii="Times New Roman" w:hAnsi="Times New Roman"/>
                <w:b w:val="false"/>
                <w:bCs w:val="false"/>
                <w:sz w:val="24"/>
                <w:szCs w:val="24"/>
              </w:rPr>
              <w:t>laço de fita acetinada ou decorativa</w:t>
            </w:r>
            <w:r>
              <w:rPr>
                <w:rFonts w:cs="Times New Roman" w:ascii="Times New Roman" w:hAnsi="Times New Roman"/>
                <w:b w:val="false"/>
                <w:bCs w:val="false"/>
                <w:sz w:val="24"/>
                <w:szCs w:val="24"/>
              </w:rPr>
              <w:t>, em tom rosa ou harmonizado com as flores;</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b w:val="false"/>
                <w:bCs w:val="false"/>
                <w:sz w:val="24"/>
                <w:szCs w:val="24"/>
              </w:rPr>
            </w:pPr>
            <w:r>
              <w:rPr>
                <w:rFonts w:cs="Times New Roman" w:ascii="Times New Roman" w:hAnsi="Times New Roman"/>
                <w:b w:val="false"/>
                <w:bCs w:val="false"/>
                <w:sz w:val="24"/>
                <w:szCs w:val="24"/>
              </w:rPr>
              <w:t>Comprimento aproximado entre 35 cm e 45 cm;</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b w:val="false"/>
                <w:bCs w:val="false"/>
                <w:sz w:val="24"/>
                <w:szCs w:val="24"/>
              </w:rPr>
            </w:pPr>
            <w:r>
              <w:rPr>
                <w:rFonts w:cs="Times New Roman" w:ascii="Times New Roman" w:hAnsi="Times New Roman"/>
                <w:b w:val="false"/>
                <w:bCs w:val="false"/>
                <w:sz w:val="24"/>
                <w:szCs w:val="24"/>
              </w:rPr>
              <w:t>Diâmetro aproximado do arranjo: 25 cm a 35 cm.</w:t>
            </w:r>
          </w:p>
          <w:p>
            <w:pPr>
              <w:pStyle w:val="BodyText"/>
              <w:widowControl w:val="false"/>
              <w:numPr>
                <w:ilvl w:val="0"/>
                <w:numId w:val="0"/>
              </w:numPr>
              <w:tabs>
                <w:tab w:val="clear" w:pos="709"/>
                <w:tab w:val="left" w:pos="0" w:leader="none"/>
              </w:tabs>
              <w:suppressAutoHyphens w:val="true"/>
              <w:overflowPunct w:val="true"/>
              <w:bidi w:val="0"/>
              <w:spacing w:lineRule="auto" w:line="240" w:before="0" w:after="112"/>
              <w:ind w:hanging="0" w:left="113" w:right="0"/>
              <w:jc w:val="left"/>
              <w:rPr>
                <w:rFonts w:ascii="Times New Roman" w:hAnsi="Times New Roman"/>
                <w:b w:val="false"/>
                <w:bCs w:val="false"/>
                <w:sz w:val="24"/>
                <w:szCs w:val="24"/>
              </w:rPr>
            </w:pPr>
            <w:r>
              <w:rPr>
                <w:rFonts w:cs="Times New Roman" w:ascii="Times New Roman" w:hAnsi="Times New Roman"/>
                <w:b w:val="false"/>
                <w:bCs w:val="false"/>
                <w:sz w:val="24"/>
                <w:szCs w:val="24"/>
                <w:u w:val="none"/>
              </w:rPr>
              <w:t>Condições de qualidade:</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b w:val="false"/>
                <w:bCs w:val="false"/>
                <w:sz w:val="24"/>
                <w:szCs w:val="24"/>
              </w:rPr>
            </w:pPr>
            <w:r>
              <w:rPr>
                <w:rFonts w:cs="Times New Roman" w:ascii="Times New Roman" w:hAnsi="Times New Roman"/>
                <w:b w:val="false"/>
                <w:bCs w:val="false"/>
                <w:sz w:val="24"/>
                <w:szCs w:val="24"/>
              </w:rPr>
              <w:t>Flores frescas, viçosas e sem sinais de murchamento, manchas, amassados ou danos;</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b w:val="false"/>
                <w:bCs w:val="false"/>
                <w:sz w:val="24"/>
                <w:szCs w:val="24"/>
              </w:rPr>
            </w:pPr>
            <w:r>
              <w:rPr>
                <w:rFonts w:cs="Times New Roman" w:ascii="Times New Roman" w:hAnsi="Times New Roman"/>
                <w:b w:val="false"/>
                <w:bCs w:val="false"/>
                <w:sz w:val="24"/>
                <w:szCs w:val="24"/>
              </w:rPr>
              <w:t>Hastes firmes e hidratadas;</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b w:val="false"/>
                <w:bCs w:val="false"/>
                <w:sz w:val="24"/>
                <w:szCs w:val="24"/>
              </w:rPr>
            </w:pPr>
            <w:r>
              <w:rPr>
                <w:rFonts w:cs="Times New Roman" w:ascii="Times New Roman" w:hAnsi="Times New Roman"/>
                <w:b w:val="false"/>
                <w:bCs w:val="false"/>
                <w:sz w:val="24"/>
                <w:szCs w:val="24"/>
              </w:rPr>
              <w:t>Produto entregue pronto para uso imediato na solenidade;</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b w:val="false"/>
                <w:bCs w:val="false"/>
                <w:sz w:val="24"/>
                <w:szCs w:val="24"/>
              </w:rPr>
            </w:pPr>
            <w:r>
              <w:rPr>
                <w:rFonts w:cs="Times New Roman" w:ascii="Times New Roman" w:hAnsi="Times New Roman"/>
                <w:b w:val="false"/>
                <w:bCs w:val="false"/>
                <w:sz w:val="24"/>
                <w:szCs w:val="24"/>
              </w:rPr>
              <w:t>Entrega realizada no dia do evento (10/03/2026), em horário previamente definido, garantindo perfeito estado de conservação.</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b w:val="false"/>
                <w:bCs w:val="false"/>
                <w:sz w:val="24"/>
                <w:szCs w:val="24"/>
              </w:rPr>
            </w:pPr>
            <w:r>
              <w:rPr>
                <w:rFonts w:cs="Times New Roman" w:ascii="Times New Roman" w:hAnsi="Times New Roman"/>
                <w:b w:val="false"/>
                <w:bCs w:val="false"/>
                <w:sz w:val="24"/>
                <w:szCs w:val="24"/>
                <w:u w:val="none"/>
              </w:rPr>
              <w:t>Padrão estético esperado:</w:t>
            </w:r>
          </w:p>
          <w:p>
            <w:pPr>
              <w:pStyle w:val="BodyText"/>
              <w:widowControl w:val="false"/>
              <w:numPr>
                <w:ilvl w:val="0"/>
                <w:numId w:val="2"/>
              </w:numPr>
              <w:tabs>
                <w:tab w:val="clear" w:pos="709"/>
                <w:tab w:val="left" w:pos="0" w:leader="none"/>
              </w:tabs>
              <w:spacing w:lineRule="auto" w:line="240" w:before="0" w:after="112"/>
              <w:jc w:val="left"/>
              <w:rPr/>
            </w:pPr>
            <w:r>
              <w:rPr>
                <w:rStyle w:val="Strong"/>
                <w:rFonts w:cs="Times New Roman" w:ascii="Times New Roman" w:hAnsi="Times New Roman"/>
                <w:b w:val="false"/>
                <w:bCs w:val="false"/>
                <w:i w:val="false"/>
                <w:strike w:val="false"/>
                <w:dstrike w:val="false"/>
                <w:outline w:val="false"/>
                <w:shadow w:val="false"/>
                <w:color w:val="000000"/>
                <w:sz w:val="24"/>
                <w:szCs w:val="24"/>
                <w:u w:val="none"/>
                <w:em w:val="none"/>
              </w:rPr>
              <w:t>O buquê deverá apresentar aparência elegante, delicada e harmoniosa, compatível com cerimônia oficial institucional, transmitindo simbolismo de valorização, respeito e reconhecimento.</w:t>
            </w:r>
          </w:p>
        </w:tc>
        <w:tc>
          <w:tcPr>
            <w:tcW w:w="1711" w:type="dxa"/>
            <w:tcBorders>
              <w:left w:val="single" w:sz="4" w:space="0" w:color="000000"/>
              <w:bottom w:val="single" w:sz="4" w:space="0" w:color="000000"/>
            </w:tcBorders>
          </w:tcPr>
          <w:p>
            <w:pPr>
              <w:pStyle w:val="BodyText"/>
              <w:widowControl w:val="false"/>
              <w:spacing w:before="0" w:after="283"/>
              <w:jc w:val="both"/>
              <w:rPr>
                <w:rFonts w:ascii="Times New Roman" w:hAnsi="Times New Roman"/>
                <w:sz w:val="24"/>
                <w:szCs w:val="24"/>
              </w:rPr>
            </w:pPr>
            <w:r>
              <w:rPr>
                <w:rFonts w:ascii="Times New Roman" w:hAnsi="Times New Roman"/>
                <w:sz w:val="24"/>
                <w:szCs w:val="24"/>
              </w:rPr>
              <w:drawing>
                <wp:anchor behindDoc="0" distT="0" distB="0" distL="0" distR="0" simplePos="0" locked="0" layoutInCell="0" allowOverlap="1" relativeHeight="13">
                  <wp:simplePos x="0" y="0"/>
                  <wp:positionH relativeFrom="column">
                    <wp:posOffset>26670</wp:posOffset>
                  </wp:positionH>
                  <wp:positionV relativeFrom="paragraph">
                    <wp:posOffset>39370</wp:posOffset>
                  </wp:positionV>
                  <wp:extent cx="940435" cy="164528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940435" cy="1645285"/>
                          </a:xfrm>
                          <a:prstGeom prst="rect">
                            <a:avLst/>
                          </a:prstGeom>
                        </pic:spPr>
                      </pic:pic>
                    </a:graphicData>
                  </a:graphic>
                </wp:anchor>
              </w:drawing>
            </w:r>
          </w:p>
        </w:tc>
        <w:tc>
          <w:tcPr>
            <w:tcW w:w="752" w:type="dxa"/>
            <w:tcBorders>
              <w:left w:val="single" w:sz="4" w:space="0" w:color="000000"/>
              <w:bottom w:val="single" w:sz="4" w:space="0" w:color="000000"/>
            </w:tcBorders>
          </w:tcPr>
          <w:p>
            <w:pPr>
              <w:pStyle w:val="Normal"/>
              <w:widowControl w:val="false"/>
              <w:tabs>
                <w:tab w:val="clear" w:pos="709"/>
              </w:tabs>
              <w:spacing w:lineRule="auto" w:line="276"/>
              <w:ind w:hanging="0" w:left="0" w:right="0"/>
              <w:jc w:val="center"/>
              <w:rPr>
                <w:rFonts w:ascii="Times New Roman" w:hAnsi="Times New Roman"/>
                <w:sz w:val="24"/>
                <w:szCs w:val="24"/>
              </w:rPr>
            </w:pPr>
            <w:r>
              <w:rPr>
                <w:sz w:val="24"/>
                <w:szCs w:val="24"/>
              </w:rPr>
              <w:t>11 unid.</w:t>
            </w:r>
          </w:p>
        </w:tc>
        <w:tc>
          <w:tcPr>
            <w:tcW w:w="918" w:type="dxa"/>
            <w:tcBorders>
              <w:left w:val="single" w:sz="4" w:space="0" w:color="000000"/>
              <w:bottom w:val="single" w:sz="4" w:space="0" w:color="000000"/>
            </w:tcBorders>
          </w:tcPr>
          <w:p>
            <w:pPr>
              <w:pStyle w:val="Normal"/>
              <w:widowControl w:val="false"/>
              <w:tabs>
                <w:tab w:val="clear" w:pos="709"/>
              </w:tabs>
              <w:spacing w:lineRule="auto" w:line="276"/>
              <w:jc w:val="center"/>
              <w:rPr>
                <w:rFonts w:ascii="Times New Roman" w:hAnsi="Times New Roman"/>
                <w:sz w:val="24"/>
                <w:szCs w:val="24"/>
              </w:rPr>
            </w:pPr>
            <w:r>
              <w:rPr>
                <w:sz w:val="24"/>
                <w:szCs w:val="24"/>
              </w:rPr>
              <w:t>R$ 84,12</w:t>
            </w:r>
          </w:p>
        </w:tc>
        <w:tc>
          <w:tcPr>
            <w:tcW w:w="850"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76"/>
              <w:ind w:hanging="0" w:left="57" w:right="113"/>
              <w:jc w:val="center"/>
              <w:rPr>
                <w:rFonts w:ascii="Times New Roman" w:hAnsi="Times New Roman"/>
                <w:sz w:val="24"/>
                <w:szCs w:val="24"/>
              </w:rPr>
            </w:pPr>
            <w:r>
              <w:rPr>
                <w:color w:val="000000"/>
                <w:sz w:val="24"/>
                <w:szCs w:val="24"/>
              </w:rPr>
              <w:t>R$</w:t>
            </w:r>
            <w:r>
              <w:rPr>
                <w:color w:val="000000"/>
                <w:sz w:val="24"/>
                <w:szCs w:val="24"/>
              </w:rPr>
              <w:t xml:space="preserve"> </w:t>
            </w:r>
            <w:r>
              <w:rPr>
                <w:color w:val="000000"/>
                <w:sz w:val="24"/>
                <w:szCs w:val="24"/>
              </w:rPr>
              <w:t>925,32</w:t>
            </w:r>
          </w:p>
        </w:tc>
      </w:tr>
      <w:tr>
        <w:trPr/>
        <w:tc>
          <w:tcPr>
            <w:tcW w:w="9329" w:type="dxa"/>
            <w:gridSpan w:val="6"/>
            <w:tcBorders>
              <w:left w:val="single" w:sz="4" w:space="0" w:color="000000"/>
              <w:bottom w:val="single" w:sz="4" w:space="0" w:color="000000"/>
              <w:right w:val="single" w:sz="4" w:space="0" w:color="000000"/>
            </w:tcBorders>
          </w:tcPr>
          <w:p>
            <w:pPr>
              <w:pStyle w:val="Normal"/>
              <w:widowControl w:val="false"/>
              <w:tabs>
                <w:tab w:val="clear" w:pos="709"/>
              </w:tabs>
              <w:spacing w:lineRule="auto" w:line="276"/>
              <w:ind w:hanging="0" w:left="0" w:right="57"/>
              <w:jc w:val="center"/>
              <w:rPr>
                <w:rFonts w:ascii="Times New Roman" w:hAnsi="Times New Roman"/>
                <w:sz w:val="24"/>
                <w:szCs w:val="24"/>
              </w:rPr>
            </w:pPr>
            <w:r>
              <w:rPr>
                <w:sz w:val="24"/>
                <w:szCs w:val="24"/>
              </w:rPr>
              <w:t>VALOR TOTAL R$ 925,32 (novecentos e vinte e cinco reais com trinta e dois centavos).</w:t>
            </w:r>
          </w:p>
        </w:tc>
      </w:tr>
    </w:tbl>
    <w:p>
      <w:pPr>
        <w:pStyle w:val="Normal"/>
        <w:spacing w:lineRule="auto" w:line="276" w:before="0" w:after="0"/>
        <w:rPr>
          <w:rFonts w:ascii="Times New Roman" w:hAnsi="Times New Roman"/>
          <w:color w:val="FF0000"/>
          <w:sz w:val="24"/>
          <w:szCs w:val="24"/>
          <w:lang w:eastAsia="en-US"/>
        </w:rPr>
      </w:pPr>
      <w:r>
        <w:rPr>
          <w:color w:val="FF0000"/>
          <w:sz w:val="24"/>
          <w:szCs w:val="24"/>
          <w:lang w:eastAsia="en-US"/>
        </w:rPr>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 xml:space="preserve">10. </w:t>
      </w:r>
      <w:r>
        <w:rPr>
          <w:rFonts w:ascii="Times New Roman" w:hAnsi="Times New Roman"/>
          <w:b/>
          <w:bCs/>
          <w:sz w:val="24"/>
          <w:szCs w:val="24"/>
        </w:rPr>
        <w:t>ADEQUAÇÃO ORÇAMENTÁRIA</w:t>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O dispêndio financeiro decorrente da contratação ora pretendida decorrerá da seguinte dotação orçamentária:</w:t>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Órgão: Câmara Municipal de Vereadores de Três Passos-RS</w:t>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Unidade: 01 Secretaria da Câmara</w:t>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Proj/ativ.: 2149 Manutenção das atividades do Poder Legislativo</w:t>
      </w:r>
    </w:p>
    <w:p>
      <w:pPr>
        <w:pStyle w:val="ListParagraph"/>
        <w:widowControl/>
        <w:suppressAutoHyphens w:val="true"/>
        <w:overflowPunct w:val="false"/>
        <w:bidi w:val="0"/>
        <w:spacing w:lineRule="auto" w:line="276" w:before="0" w:after="200"/>
        <w:ind w:hanging="0" w:left="0" w:right="0"/>
        <w:contextualSpacing/>
        <w:jc w:val="both"/>
        <w:rPr>
          <w:highlight w:val="none"/>
          <w:shd w:fill="auto" w:val="clear"/>
        </w:rPr>
      </w:pPr>
      <w:r>
        <w:rPr>
          <w:rFonts w:ascii="Times New Roman" w:hAnsi="Times New Roman"/>
          <w:sz w:val="24"/>
          <w:szCs w:val="24"/>
          <w:shd w:fill="auto" w:val="clear"/>
        </w:rPr>
        <w:t xml:space="preserve">Elemento: 3.3.9.0.32.00.00.00 </w:t>
      </w:r>
    </w:p>
    <w:p>
      <w:pPr>
        <w:pStyle w:val="Normal"/>
        <w:spacing w:lineRule="auto" w:line="276"/>
        <w:jc w:val="both"/>
        <w:rPr>
          <w:rFonts w:ascii="Times New Roman" w:hAnsi="Times New Roman"/>
          <w:color w:val="FF0000"/>
          <w:sz w:val="24"/>
          <w:szCs w:val="24"/>
          <w:lang w:eastAsia="en-US"/>
        </w:rPr>
      </w:pPr>
      <w:r>
        <w:rPr>
          <w:color w:val="FF0000"/>
          <w:sz w:val="24"/>
          <w:szCs w:val="24"/>
          <w:lang w:eastAsia="en-US"/>
        </w:rPr>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T</w:t>
      </w:r>
      <w:r>
        <w:rPr>
          <w:rFonts w:ascii="Times New Roman" w:hAnsi="Times New Roman"/>
          <w:color w:val="111111"/>
          <w:sz w:val="24"/>
          <w:szCs w:val="24"/>
        </w:rPr>
        <w:t>rês Passos/RS, 20 de fevereiro de 2026.</w:t>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color w:val="C9211E"/>
          <w:sz w:val="24"/>
          <w:szCs w:val="24"/>
        </w:rPr>
      </w:pPr>
      <w:r>
        <w:rPr>
          <w:rFonts w:ascii="Times New Roman" w:hAnsi="Times New Roman"/>
          <w:color w:val="C9211E"/>
          <w:sz w:val="24"/>
          <w:szCs w:val="24"/>
        </w:rPr>
      </w:r>
    </w:p>
    <w:p>
      <w:pPr>
        <w:pStyle w:val="ListParagraph"/>
        <w:widowControl/>
        <w:suppressAutoHyphens w:val="true"/>
        <w:overflowPunct w:val="false"/>
        <w:bidi w:val="0"/>
        <w:spacing w:lineRule="auto" w:line="276" w:before="0" w:after="200"/>
        <w:ind w:hanging="0" w:left="0" w:right="0"/>
        <w:contextualSpacing/>
        <w:jc w:val="both"/>
        <w:rPr>
          <w:rFonts w:ascii="Times New Roman" w:hAnsi="Times New Roman"/>
          <w:color w:val="auto"/>
          <w:sz w:val="24"/>
          <w:szCs w:val="24"/>
        </w:rPr>
      </w:pPr>
      <w:r>
        <w:rPr>
          <w:rFonts w:ascii="Times New Roman" w:hAnsi="Times New Roman"/>
          <w:color w:val="auto"/>
          <w:sz w:val="24"/>
          <w:szCs w:val="24"/>
        </w:rPr>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_________________________________</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4"/>
          <w:szCs w:val="24"/>
        </w:rPr>
      </w:pPr>
      <w:r>
        <w:rPr>
          <w:rFonts w:ascii="Times New Roman" w:hAnsi="Times New Roman"/>
          <w:sz w:val="24"/>
          <w:szCs w:val="24"/>
        </w:rPr>
        <w:t>Emanuelle Cavalcante Carvalho Petrazzini</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4"/>
          <w:szCs w:val="24"/>
        </w:rPr>
      </w:pPr>
      <w:r>
        <w:rPr>
          <w:rFonts w:ascii="Times New Roman" w:hAnsi="Times New Roman"/>
          <w:color w:val="auto"/>
          <w:sz w:val="24"/>
          <w:szCs w:val="24"/>
        </w:rPr>
        <w:t>Diretora Geral</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134" w:gutter="0" w:header="851" w:top="1134"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Segoe U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Palatino Linotype">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false"/>
      <w:bidi w:val="0"/>
      <w:spacing w:lineRule="auto" w:line="228" w:before="0" w:after="0"/>
      <w:ind w:hanging="0" w:left="1928" w:right="0"/>
      <w:jc w:val="center"/>
      <w:rPr>
        <w:rFonts w:ascii="Times New Roman" w:hAnsi="Times New Roman"/>
        <w:sz w:val="28"/>
        <w:szCs w:val="28"/>
      </w:rPr>
    </w:pPr>
    <w:r>
      <w:drawing>
        <wp:anchor behindDoc="1" distT="0" distB="0" distL="0" distR="0" simplePos="0" locked="0" layoutInCell="1" allowOverlap="1" relativeHeight="12">
          <wp:simplePos x="0" y="0"/>
          <wp:positionH relativeFrom="column">
            <wp:posOffset>1837055</wp:posOffset>
          </wp:positionH>
          <wp:positionV relativeFrom="paragraph">
            <wp:posOffset>-79375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hanging="0" w:left="3168" w:right="2246"/>
      <w:jc w:val="center"/>
      <w:rPr/>
    </w:pPr>
    <w:r>
      <w:rPr>
        <w:sz w:val="24"/>
        <w:szCs w:val="24"/>
      </w:rPr>
      <w:t xml:space="preserve">       </w:t>
    </w:r>
    <w:r>
      <w:rPr>
        <w:sz w:val="24"/>
        <w:szCs w:val="24"/>
      </w:rPr>
      <w:t xml:space="preserve">Estado do Rio Grande do Sul </w:t>
    </w:r>
  </w:p>
  <w:p>
    <w:pPr>
      <w:pStyle w:val="Normal"/>
      <w:spacing w:lineRule="auto" w:line="228" w:before="0" w:after="0"/>
      <w:ind w:hanging="0" w:left="3168" w:right="2246"/>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false"/>
      <w:bidi w:val="0"/>
      <w:spacing w:lineRule="auto" w:line="228" w:before="0" w:after="0"/>
      <w:ind w:hanging="0" w:left="1928" w:right="0"/>
      <w:jc w:val="center"/>
      <w:rPr>
        <w:rFonts w:ascii="Times New Roman" w:hAnsi="Times New Roman"/>
        <w:sz w:val="28"/>
        <w:szCs w:val="28"/>
      </w:rPr>
    </w:pPr>
    <w:r>
      <w:drawing>
        <wp:anchor behindDoc="1" distT="0" distB="0" distL="0" distR="0" simplePos="0" locked="0" layoutInCell="1" allowOverlap="1" relativeHeight="12">
          <wp:simplePos x="0" y="0"/>
          <wp:positionH relativeFrom="column">
            <wp:posOffset>1837055</wp:posOffset>
          </wp:positionH>
          <wp:positionV relativeFrom="paragraph">
            <wp:posOffset>-79375</wp:posOffset>
          </wp:positionV>
          <wp:extent cx="582295" cy="707390"/>
          <wp:effectExtent l="0" t="0" r="0" b="0"/>
          <wp:wrapNone/>
          <wp:docPr id="3"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hanging="0" w:left="3168" w:right="2246"/>
      <w:jc w:val="center"/>
      <w:rPr/>
    </w:pPr>
    <w:r>
      <w:rPr>
        <w:sz w:val="24"/>
        <w:szCs w:val="24"/>
      </w:rPr>
      <w:t xml:space="preserve">       </w:t>
    </w:r>
    <w:r>
      <w:rPr>
        <w:sz w:val="24"/>
        <w:szCs w:val="24"/>
      </w:rPr>
      <w:t xml:space="preserve">Estado do Rio Grande do Sul </w:t>
    </w:r>
  </w:p>
  <w:p>
    <w:pPr>
      <w:pStyle w:val="Normal"/>
      <w:spacing w:lineRule="auto" w:line="228" w:before="0" w:after="0"/>
      <w:ind w:hanging="0" w:left="3168" w:right="2246"/>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09"/>
        </w:tabs>
        <w:ind w:left="709" w:hanging="283"/>
      </w:pPr>
      <w:rPr>
        <w:rFonts w:ascii="Symbol" w:hAnsi="Symbol" w:cs="Symbol" w:hint="default"/>
        <w:sz w:val="16"/>
        <w:u w:val="none"/>
        <w:color w:val="auto"/>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6">
    <w:name w:val="Heading 6"/>
    <w:basedOn w:val="Normal"/>
    <w:next w:val="Normal"/>
    <w:qFormat/>
    <w:pPr>
      <w:numPr>
        <w:ilvl w:val="5"/>
        <w:numId w:val="3"/>
      </w:numPr>
      <w:spacing w:before="240" w:after="60"/>
      <w:outlineLvl w:val="5"/>
    </w:pPr>
    <w:rPr>
      <w:rFonts w:ascii="Calibri" w:hAnsi="Calibri" w:cs="Calibri"/>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Hyperlink" w:customStyle="1">
    <w:name w:val="Hyperlink"/>
    <w:rPr>
      <w:color w:val="0000FF"/>
      <w:u w:val="single"/>
    </w:rPr>
  </w:style>
  <w:style w:type="character" w:styleId="Strong" w:customStyle="1">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1">
    <w:name w:val="caption11"/>
    <w:basedOn w:val="Normal"/>
    <w:qFormat/>
    <w:pPr>
      <w:suppressLineNumbers/>
      <w:spacing w:before="120" w:after="120"/>
    </w:pPr>
    <w:rPr>
      <w:rFonts w:cs="Arial"/>
      <w:i/>
      <w:iCs/>
    </w:rPr>
  </w:style>
  <w:style w:type="paragraph" w:styleId="BodyTextIndent">
    <w:name w:val="Body Text Indent"/>
    <w:basedOn w:val="Normal"/>
    <w:link w:val="RecuodecorpodetextoChar"/>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rpodetexto31">
    <w:name w:val="Corpo de texto 31"/>
    <w:basedOn w:val="Normal"/>
    <w:next w:val="Title"/>
    <w:qFormat/>
    <w:pPr>
      <w:spacing w:before="0" w:after="120"/>
    </w:pPr>
    <w:rPr>
      <w:sz w:val="16"/>
      <w:szCs w:val="16"/>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915</TotalTime>
  <Application>LibreOffice/7.6.2.1$Windows_X86_64 LibreOffice_project/56f7684011345957bbf33a7ee678afaf4d2ba333</Application>
  <AppVersion>15.0000</AppVersion>
  <Pages>11</Pages>
  <Words>3476</Words>
  <Characters>19683</Characters>
  <CharactersWithSpaces>23062</CharactersWithSpaces>
  <Paragraphs>174</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2025-11-18T10:07:50Z</cp:lastPrinted>
  <dcterms:modified xsi:type="dcterms:W3CDTF">2026-02-23T11:21:02Z</dcterms:modified>
  <cp:revision>106</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