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00"/>
        </w:rPr>
      </w:pPr>
      <w:r>
        <w:rPr>
          <w:color w:val="000000"/>
        </w:rPr>
      </w:r>
    </w:p>
    <w:p>
      <w:pPr>
        <w:pStyle w:val="Normal"/>
        <w:jc w:val="center"/>
        <w:rPr>
          <w:rFonts w:cs="Arial"/>
          <w:b/>
          <w:color w:val="000000"/>
          <w:sz w:val="24"/>
          <w:szCs w:val="24"/>
        </w:rPr>
      </w:pPr>
      <w:r>
        <w:rPr>
          <w:rFonts w:cs="Arial"/>
          <w:b/>
          <w:color w:val="000000"/>
          <w:sz w:val="24"/>
          <w:szCs w:val="24"/>
        </w:rPr>
      </w:r>
    </w:p>
    <w:p>
      <w:pPr>
        <w:pStyle w:val="Normal"/>
        <w:jc w:val="center"/>
        <w:rPr>
          <w:rFonts w:cs="Arial"/>
          <w:b/>
          <w:color w:val="000000"/>
          <w:sz w:val="24"/>
          <w:szCs w:val="24"/>
        </w:rPr>
      </w:pPr>
      <w:r>
        <w:rPr>
          <w:rFonts w:cs="Arial"/>
          <w:b/>
          <w:color w:val="000000"/>
          <w:sz w:val="24"/>
          <w:szCs w:val="24"/>
        </w:rPr>
        <w:t>DOCUMENTO DE FORMALIZAÇÃO DE DEMANDA</w:t>
      </w:r>
    </w:p>
    <w:p>
      <w:pPr>
        <w:pStyle w:val="Normal"/>
        <w:jc w:val="center"/>
        <w:rPr>
          <w:sz w:val="24"/>
          <w:szCs w:val="24"/>
        </w:rPr>
      </w:pPr>
      <w:r>
        <w:rPr>
          <w:rFonts w:cs="Arial"/>
          <w:b/>
          <w:color w:val="000000"/>
          <w:sz w:val="24"/>
          <w:szCs w:val="24"/>
        </w:rPr>
        <w:t>N</w:t>
      </w:r>
      <w:r>
        <w:rPr>
          <w:rFonts w:cs="Arial"/>
          <w:b/>
          <w:bCs/>
          <w:color w:val="000000"/>
          <w:sz w:val="24"/>
          <w:szCs w:val="24"/>
        </w:rPr>
        <w:t>° 15/</w:t>
      </w:r>
      <w:r>
        <w:rPr>
          <w:rFonts w:cs="Arial"/>
          <w:b/>
          <w:color w:val="000000"/>
          <w:sz w:val="24"/>
          <w:szCs w:val="24"/>
        </w:rPr>
        <w:t>2026</w:t>
      </w:r>
    </w:p>
    <w:p>
      <w:pPr>
        <w:pStyle w:val="Normal"/>
        <w:jc w:val="center"/>
        <w:rPr>
          <w:rFonts w:cs="Arial"/>
          <w:color w:val="000000"/>
          <w:sz w:val="24"/>
          <w:szCs w:val="24"/>
        </w:rPr>
      </w:pPr>
      <w:r>
        <w:rPr>
          <w:rFonts w:cs="Arial"/>
          <w:color w:val="000000"/>
          <w:sz w:val="24"/>
          <w:szCs w:val="24"/>
        </w:rPr>
      </w:r>
    </w:p>
    <w:tbl>
      <w:tblPr>
        <w:tblW w:w="9420" w:type="dxa"/>
        <w:jc w:val="left"/>
        <w:tblInd w:w="62" w:type="dxa"/>
        <w:tblLayout w:type="fixed"/>
        <w:tblCellMar>
          <w:top w:w="55" w:type="dxa"/>
          <w:left w:w="55" w:type="dxa"/>
          <w:bottom w:w="55" w:type="dxa"/>
          <w:right w:w="55" w:type="dxa"/>
        </w:tblCellMar>
      </w:tblPr>
      <w:tblGrid>
        <w:gridCol w:w="9420"/>
      </w:tblGrid>
      <w:tr>
        <w:trPr/>
        <w:tc>
          <w:tcPr>
            <w:tcW w:w="9420" w:type="dxa"/>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1"/>
              </w:numPr>
              <w:spacing w:before="0" w:after="0"/>
              <w:contextualSpacing/>
              <w:jc w:val="both"/>
              <w:rPr>
                <w:sz w:val="24"/>
                <w:szCs w:val="24"/>
              </w:rPr>
            </w:pPr>
            <w:r>
              <w:rPr>
                <w:rFonts w:ascii="Times New Roman" w:hAnsi="Times New Roman"/>
                <w:b/>
                <w:bCs/>
                <w:color w:val="000000"/>
                <w:sz w:val="24"/>
                <w:szCs w:val="24"/>
              </w:rPr>
              <w:t>INFORMAÇÕES GERAIS</w:t>
            </w:r>
          </w:p>
        </w:tc>
      </w:tr>
      <w:tr>
        <w:trPr/>
        <w:tc>
          <w:tcPr>
            <w:tcW w:w="9420" w:type="dxa"/>
            <w:tcBorders>
              <w:left w:val="single" w:sz="4" w:space="0" w:color="000000"/>
              <w:bottom w:val="single" w:sz="4" w:space="0" w:color="000000"/>
              <w:right w:val="single" w:sz="4" w:space="0" w:color="000000"/>
            </w:tcBorders>
          </w:tcPr>
          <w:p>
            <w:pPr>
              <w:pStyle w:val="ListParagraph"/>
              <w:widowControl w:val="false"/>
              <w:spacing w:before="0" w:after="0"/>
              <w:ind w:left="-57" w:right="113"/>
              <w:contextualSpacing/>
              <w:jc w:val="both"/>
              <w:rPr>
                <w:sz w:val="24"/>
                <w:szCs w:val="24"/>
              </w:rPr>
            </w:pPr>
            <w:r>
              <w:rPr>
                <w:rFonts w:ascii="Times New Roman" w:hAnsi="Times New Roman"/>
                <w:b/>
                <w:bCs/>
                <w:color w:val="000000"/>
                <w:sz w:val="24"/>
                <w:szCs w:val="24"/>
              </w:rPr>
              <w:t>1.1 Área requisitante</w:t>
            </w:r>
          </w:p>
          <w:p>
            <w:pPr>
              <w:pStyle w:val="ListParagraph"/>
              <w:widowControl w:val="false"/>
              <w:spacing w:before="0" w:after="0"/>
              <w:ind w:left="-57" w:right="113"/>
              <w:contextualSpacing/>
              <w:jc w:val="both"/>
              <w:rPr>
                <w:rFonts w:ascii="Times New Roman" w:hAnsi="Times New Roman"/>
                <w:color w:val="000000"/>
                <w:sz w:val="24"/>
                <w:szCs w:val="24"/>
              </w:rPr>
            </w:pPr>
            <w:r>
              <w:rPr>
                <w:rFonts w:ascii="Times New Roman" w:hAnsi="Times New Roman"/>
                <w:color w:val="000000"/>
                <w:sz w:val="24"/>
                <w:szCs w:val="24"/>
              </w:rPr>
              <w:t>Câmara Municipal de Três Passos-RS.</w:t>
            </w:r>
          </w:p>
          <w:p>
            <w:pPr>
              <w:pStyle w:val="ListParagraph"/>
              <w:widowControl w:val="false"/>
              <w:spacing w:before="0" w:after="0"/>
              <w:ind w:left="-57" w:right="113"/>
              <w:contextualSpacing/>
              <w:jc w:val="both"/>
              <w:rPr>
                <w:rFonts w:ascii="Times New Roman" w:hAnsi="Times New Roman"/>
                <w:color w:val="000000"/>
                <w:sz w:val="24"/>
                <w:szCs w:val="24"/>
              </w:rPr>
            </w:pPr>
            <w:r>
              <w:rPr>
                <w:rFonts w:ascii="Times New Roman" w:hAnsi="Times New Roman"/>
                <w:color w:val="000000"/>
                <w:sz w:val="24"/>
                <w:szCs w:val="24"/>
              </w:rPr>
            </w:r>
          </w:p>
        </w:tc>
      </w:tr>
      <w:tr>
        <w:trPr/>
        <w:tc>
          <w:tcPr>
            <w:tcW w:w="9420" w:type="dxa"/>
            <w:tcBorders>
              <w:left w:val="single" w:sz="4" w:space="0" w:color="000000"/>
              <w:bottom w:val="single" w:sz="4" w:space="0" w:color="000000"/>
              <w:right w:val="single" w:sz="4" w:space="0" w:color="000000"/>
            </w:tcBorders>
          </w:tcPr>
          <w:p>
            <w:pPr>
              <w:pStyle w:val="Normal"/>
              <w:widowControl w:val="false"/>
              <w:tabs>
                <w:tab w:val="clear" w:pos="720"/>
                <w:tab w:val="left" w:pos="738" w:leader="none"/>
              </w:tabs>
              <w:spacing w:lineRule="auto" w:line="259"/>
              <w:ind w:right="57"/>
              <w:jc w:val="both"/>
              <w:rPr>
                <w:sz w:val="24"/>
                <w:szCs w:val="24"/>
              </w:rPr>
            </w:pPr>
            <w:r>
              <w:rPr>
                <w:b/>
                <w:bCs/>
                <w:color w:val="000000"/>
                <w:sz w:val="24"/>
                <w:szCs w:val="24"/>
              </w:rPr>
              <w:t>1.2 Data prevista para conclusão do processo de contratação</w:t>
            </w:r>
          </w:p>
          <w:p>
            <w:pPr>
              <w:pStyle w:val="Normal"/>
              <w:widowControl w:val="false"/>
              <w:jc w:val="both"/>
              <w:rPr>
                <w:sz w:val="24"/>
                <w:szCs w:val="24"/>
              </w:rPr>
            </w:pPr>
            <w:r>
              <w:rPr>
                <w:sz w:val="24"/>
                <w:szCs w:val="24"/>
              </w:rPr>
              <w:t xml:space="preserve">A data pretendida para conclusão da contratação, a fim de evitar prejuízos ou descontinuidade das atividades do Câmara Municipal de Vereadores, é </w:t>
            </w:r>
            <w:r>
              <w:rPr>
                <w:color w:val="000000"/>
                <w:sz w:val="24"/>
                <w:szCs w:val="24"/>
              </w:rPr>
              <w:t>31/03/2026.</w:t>
            </w:r>
          </w:p>
          <w:p>
            <w:pPr>
              <w:pStyle w:val="Normal"/>
              <w:widowControl w:val="false"/>
              <w:jc w:val="both"/>
              <w:rPr>
                <w:color w:val="000000"/>
                <w:sz w:val="24"/>
                <w:szCs w:val="24"/>
              </w:rPr>
            </w:pPr>
            <w:r>
              <w:rPr>
                <w:color w:val="000000"/>
                <w:sz w:val="24"/>
                <w:szCs w:val="24"/>
              </w:rPr>
            </w:r>
          </w:p>
        </w:tc>
      </w:tr>
      <w:tr>
        <w:trPr/>
        <w:tc>
          <w:tcPr>
            <w:tcW w:w="9420" w:type="dxa"/>
            <w:tcBorders>
              <w:left w:val="single" w:sz="4" w:space="0" w:color="000000"/>
              <w:bottom w:val="single" w:sz="4" w:space="0" w:color="000000"/>
              <w:right w:val="single" w:sz="4" w:space="0" w:color="000000"/>
            </w:tcBorders>
          </w:tcPr>
          <w:p>
            <w:pPr>
              <w:pStyle w:val="Standard"/>
              <w:jc w:val="both"/>
              <w:rPr>
                <w:sz w:val="24"/>
                <w:szCs w:val="24"/>
              </w:rPr>
            </w:pPr>
            <w:r>
              <w:rPr>
                <w:b/>
                <w:bCs/>
                <w:sz w:val="24"/>
                <w:szCs w:val="24"/>
              </w:rPr>
              <w:t>1.3</w:t>
            </w:r>
            <w:r>
              <w:rPr>
                <w:b/>
                <w:bCs/>
                <w:color w:val="FF0000"/>
                <w:sz w:val="24"/>
                <w:szCs w:val="24"/>
              </w:rPr>
              <w:t xml:space="preserve"> </w:t>
            </w:r>
            <w:r>
              <w:rPr>
                <w:b/>
                <w:bCs/>
                <w:sz w:val="24"/>
                <w:szCs w:val="24"/>
              </w:rPr>
              <w:t>Descrição sucinta do objeto</w:t>
            </w:r>
          </w:p>
          <w:p>
            <w:pPr>
              <w:pStyle w:val="Standard"/>
              <w:jc w:val="both"/>
              <w:rPr>
                <w:b/>
                <w:bCs/>
                <w:sz w:val="24"/>
                <w:szCs w:val="24"/>
              </w:rPr>
            </w:pPr>
            <w:r>
              <w:rPr>
                <w:b/>
                <w:bCs/>
                <w:sz w:val="24"/>
                <w:szCs w:val="24"/>
              </w:rPr>
              <w:t>REGISTRO DE PREÇOS PARA EVENTUAL E FUTURA AQUISIÇÃO DE PILHAS ALCALINAS TIPO AA E AAA, PILHAS RECARREGÁVEIS TIPO AA E CARREGADORES DE PILHAS COMPATÍVEIS, DESTINADAS AO ATENDIMENTO DAS NECESSIDADES DA CÂMARA MUNICIPAL DE TRÊS PASSOS/RS.</w:t>
            </w:r>
          </w:p>
          <w:p>
            <w:pPr>
              <w:pStyle w:val="Standard"/>
              <w:jc w:val="both"/>
              <w:rPr>
                <w:b/>
                <w:bCs/>
                <w:sz w:val="24"/>
                <w:szCs w:val="24"/>
              </w:rPr>
            </w:pPr>
            <w:r>
              <w:rPr>
                <w:b/>
                <w:bCs/>
                <w:sz w:val="24"/>
                <w:szCs w:val="24"/>
              </w:rPr>
            </w:r>
          </w:p>
        </w:tc>
      </w:tr>
      <w:tr>
        <w:trPr/>
        <w:tc>
          <w:tcPr>
            <w:tcW w:w="9420" w:type="dxa"/>
            <w:tcBorders>
              <w:left w:val="single" w:sz="4" w:space="0" w:color="000000"/>
              <w:bottom w:val="single" w:sz="4" w:space="0" w:color="000000"/>
              <w:right w:val="single" w:sz="4" w:space="0" w:color="000000"/>
            </w:tcBorders>
          </w:tcPr>
          <w:p>
            <w:pPr>
              <w:pStyle w:val="Normal"/>
              <w:widowControl w:val="false"/>
              <w:snapToGrid w:val="false"/>
              <w:spacing w:lineRule="auto" w:line="276"/>
              <w:rPr>
                <w:sz w:val="24"/>
                <w:szCs w:val="24"/>
              </w:rPr>
            </w:pPr>
            <w:r>
              <w:rPr>
                <w:b/>
                <w:bCs/>
                <w:sz w:val="24"/>
                <w:szCs w:val="24"/>
                <w:lang w:eastAsia="en-US"/>
              </w:rPr>
              <w:t>1.4</w:t>
            </w:r>
            <w:r>
              <w:rPr>
                <w:color w:val="FF0000"/>
                <w:sz w:val="24"/>
                <w:szCs w:val="24"/>
                <w:lang w:eastAsia="en-US"/>
              </w:rPr>
              <w:t xml:space="preserve"> </w:t>
            </w:r>
            <w:r>
              <w:rPr>
                <w:b/>
                <w:bCs/>
                <w:color w:val="000000"/>
                <w:sz w:val="24"/>
                <w:szCs w:val="24"/>
              </w:rPr>
              <w:t>Prioridade</w:t>
            </w:r>
          </w:p>
          <w:p>
            <w:pPr>
              <w:pStyle w:val="Normal"/>
              <w:widowControl w:val="false"/>
              <w:snapToGrid w:val="false"/>
              <w:spacing w:lineRule="auto" w:line="276"/>
              <w:rPr>
                <w:sz w:val="24"/>
                <w:szCs w:val="24"/>
              </w:rPr>
            </w:pPr>
            <w:r>
              <w:rPr>
                <w:sz w:val="24"/>
                <w:szCs w:val="24"/>
              </w:rPr>
              <w:t>Alta.</w:t>
            </w:r>
          </w:p>
          <w:p>
            <w:pPr>
              <w:pStyle w:val="Normal"/>
              <w:widowControl w:val="false"/>
              <w:snapToGrid w:val="false"/>
              <w:spacing w:lineRule="auto" w:line="276"/>
              <w:rPr>
                <w:sz w:val="24"/>
                <w:szCs w:val="24"/>
              </w:rPr>
            </w:pPr>
            <w:r>
              <w:rPr>
                <w:sz w:val="24"/>
                <w:szCs w:val="24"/>
              </w:rPr>
            </w:r>
          </w:p>
        </w:tc>
      </w:tr>
      <w:tr>
        <w:trPr/>
        <w:tc>
          <w:tcPr>
            <w:tcW w:w="9420" w:type="dxa"/>
            <w:tcBorders>
              <w:left w:val="single" w:sz="4" w:space="0" w:color="000000"/>
              <w:bottom w:val="single" w:sz="4" w:space="0" w:color="000000"/>
              <w:right w:val="single" w:sz="4" w:space="0" w:color="000000"/>
            </w:tcBorders>
          </w:tcPr>
          <w:p>
            <w:pPr>
              <w:pStyle w:val="Normal"/>
              <w:widowControl w:val="false"/>
              <w:snapToGrid w:val="false"/>
              <w:spacing w:lineRule="auto" w:line="276"/>
              <w:rPr>
                <w:sz w:val="24"/>
                <w:szCs w:val="24"/>
              </w:rPr>
            </w:pPr>
            <w:r>
              <w:rPr>
                <w:b/>
                <w:bCs/>
                <w:sz w:val="24"/>
                <w:szCs w:val="24"/>
              </w:rPr>
              <w:t xml:space="preserve">1.5 </w:t>
            </w:r>
            <w:r>
              <w:rPr>
                <w:b/>
                <w:bCs/>
                <w:color w:val="000000"/>
                <w:sz w:val="24"/>
                <w:szCs w:val="24"/>
              </w:rPr>
              <w:t>Justificativa de prioridade</w:t>
            </w:r>
          </w:p>
          <w:p>
            <w:pPr>
              <w:pStyle w:val="BodyText"/>
              <w:widowControl w:val="false"/>
              <w:snapToGrid w:val="false"/>
              <w:spacing w:lineRule="auto" w:line="276" w:before="0" w:after="112"/>
              <w:ind w:firstLine="850" w:right="57"/>
              <w:jc w:val="both"/>
              <w:rPr>
                <w:rFonts w:cs="Times New Roman"/>
                <w:color w:val="000000"/>
                <w:sz w:val="24"/>
                <w:szCs w:val="24"/>
              </w:rPr>
            </w:pPr>
            <w:r>
              <w:rPr>
                <w:rFonts w:cs="Times New Roman"/>
                <w:color w:val="000000"/>
                <w:sz w:val="24"/>
                <w:szCs w:val="24"/>
              </w:rPr>
              <w:t xml:space="preserve">A presente contratação </w:t>
            </w:r>
            <w:r>
              <w:rPr>
                <w:rFonts w:cs="Times New Roman"/>
                <w:b w:val="false"/>
                <w:bCs w:val="false"/>
                <w:color w:val="000000"/>
                <w:sz w:val="24"/>
                <w:szCs w:val="24"/>
              </w:rPr>
              <w:t xml:space="preserve">possui </w:t>
            </w:r>
            <w:r>
              <w:rPr>
                <w:rStyle w:val="Strong"/>
                <w:rFonts w:cs="Times New Roman"/>
                <w:b w:val="false"/>
                <w:bCs w:val="false"/>
                <w:color w:val="000000"/>
                <w:sz w:val="24"/>
                <w:szCs w:val="24"/>
              </w:rPr>
              <w:t>prioridade alta</w:t>
            </w:r>
            <w:r>
              <w:rPr>
                <w:rFonts w:cs="Times New Roman"/>
                <w:b w:val="false"/>
                <w:bCs w:val="false"/>
                <w:color w:val="000000"/>
                <w:sz w:val="24"/>
                <w:szCs w:val="24"/>
              </w:rPr>
              <w:t>, conside</w:t>
            </w:r>
            <w:r>
              <w:rPr>
                <w:rFonts w:cs="Times New Roman"/>
                <w:color w:val="000000"/>
                <w:sz w:val="24"/>
                <w:szCs w:val="24"/>
              </w:rPr>
              <w:t>rando que as pilhas serão utilizadas nos microfones sem fio do plenário da Câmara Municipal de Três Passos/RS, equipamentos essenciais para o adequado funcionamento das sessões plenárias, reuniões de comissões, audiências públicas e demais atividades legislativas.</w:t>
            </w:r>
          </w:p>
          <w:p>
            <w:pPr>
              <w:pStyle w:val="BodyText"/>
              <w:snapToGrid w:val="false"/>
              <w:spacing w:before="0" w:after="112"/>
              <w:rPr>
                <w:rFonts w:cs="Times New Roman"/>
                <w:color w:val="000000"/>
                <w:sz w:val="24"/>
                <w:szCs w:val="24"/>
              </w:rPr>
            </w:pPr>
            <w:r>
              <w:rPr>
                <w:rFonts w:cs="Times New Roman"/>
                <w:color w:val="000000"/>
                <w:sz w:val="24"/>
                <w:szCs w:val="24"/>
              </w:rPr>
              <w:t>A utilização de pilhas em bom estado de funcionamento é indispensável para garantir a continuidade e a qualidade da captação de áudio durante as manifestações dos vereadores, servidores e cidadãos que participam das atividades do Poder Legislativo. A eventual indisponibilidade desses insumos pode comprometer a comunicação durante as sessões, prejudicando a transparência, a publicidade dos atos legislativos e o registro adequado das atividades parlamentares.</w:t>
            </w:r>
          </w:p>
          <w:p>
            <w:pPr>
              <w:pStyle w:val="BodyText"/>
              <w:snapToGrid w:val="false"/>
              <w:spacing w:before="0" w:after="112"/>
              <w:rPr>
                <w:rFonts w:cs="Times New Roman"/>
                <w:color w:val="000000"/>
                <w:sz w:val="24"/>
                <w:szCs w:val="24"/>
              </w:rPr>
            </w:pPr>
            <w:r>
              <w:rPr>
                <w:rFonts w:cs="Times New Roman"/>
                <w:color w:val="000000"/>
                <w:sz w:val="24"/>
                <w:szCs w:val="24"/>
              </w:rPr>
              <w:t>Dessa forma, a aquisição das pilhas alcalinas, pilhas recarregáveis e respectivos carregadores mostra-se necessária e urgente, a fim de assegurar o pleno funcionamento dos microfones sem fio utilizados no plenário, garantindo a regularidade e eficiência das atividades institucionais da Câmara Municipal.</w:t>
            </w:r>
          </w:p>
        </w:tc>
      </w:tr>
    </w:tbl>
    <w:p>
      <w:pPr>
        <w:pStyle w:val="Normal"/>
        <w:jc w:val="center"/>
        <w:rPr>
          <w:color w:val="000000"/>
          <w:sz w:val="24"/>
          <w:szCs w:val="24"/>
        </w:rPr>
      </w:pPr>
      <w:r>
        <w:rPr>
          <w:color w:val="000000"/>
          <w:sz w:val="24"/>
          <w:szCs w:val="24"/>
        </w:rPr>
      </w:r>
    </w:p>
    <w:tbl>
      <w:tblPr>
        <w:tblW w:w="9420" w:type="dxa"/>
        <w:jc w:val="left"/>
        <w:tblInd w:w="50" w:type="dxa"/>
        <w:tblLayout w:type="fixed"/>
        <w:tblCellMar>
          <w:top w:w="55" w:type="dxa"/>
          <w:left w:w="55" w:type="dxa"/>
          <w:bottom w:w="55" w:type="dxa"/>
          <w:right w:w="55" w:type="dxa"/>
        </w:tblCellMar>
      </w:tblPr>
      <w:tblGrid>
        <w:gridCol w:w="9420"/>
      </w:tblGrid>
      <w:tr>
        <w:trPr/>
        <w:tc>
          <w:tcPr>
            <w:tcW w:w="9420" w:type="dxa"/>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1"/>
              </w:numPr>
              <w:spacing w:before="0" w:after="0"/>
              <w:contextualSpacing/>
              <w:jc w:val="both"/>
              <w:rPr>
                <w:sz w:val="24"/>
                <w:szCs w:val="24"/>
              </w:rPr>
            </w:pPr>
            <w:r>
              <w:rPr>
                <w:rFonts w:ascii="Times New Roman" w:hAnsi="Times New Roman"/>
                <w:b/>
                <w:bCs/>
                <w:color w:val="000000"/>
                <w:sz w:val="24"/>
                <w:szCs w:val="24"/>
              </w:rPr>
              <w:t>JUSTIFICATIVA DA NECESSIDADE</w:t>
            </w:r>
          </w:p>
        </w:tc>
      </w:tr>
      <w:tr>
        <w:trPr>
          <w:trHeight w:val="4710" w:hRule="atLeast"/>
        </w:trPr>
        <w:tc>
          <w:tcPr>
            <w:tcW w:w="9420" w:type="dxa"/>
            <w:tcBorders>
              <w:left w:val="single" w:sz="4" w:space="0" w:color="000000"/>
              <w:bottom w:val="single" w:sz="4" w:space="0" w:color="000000"/>
              <w:right w:val="single" w:sz="4" w:space="0" w:color="000000"/>
            </w:tcBorders>
          </w:tcPr>
          <w:p>
            <w:pPr>
              <w:pStyle w:val="BodyText"/>
              <w:suppressAutoHyphens w:val="false"/>
              <w:overflowPunct w:val="false"/>
              <w:spacing w:before="0" w:after="280"/>
              <w:jc w:val="both"/>
              <w:rPr>
                <w:rFonts w:cs="Times New Roman"/>
                <w:sz w:val="24"/>
                <w:szCs w:val="24"/>
              </w:rPr>
            </w:pPr>
            <w:r>
              <w:rPr>
                <w:rFonts w:cs="Times New Roman"/>
                <w:sz w:val="24"/>
                <w:szCs w:val="24"/>
              </w:rPr>
              <w:t>A presente contratação tem por objetivo atender às necessidades da Câmara Municipal de Três Passos/RS quanto ao fornecimento de pilhas alcalinas tipo AA e AAA, pilhas recarregáveis tipo AA e carregadores de pilhas, destinadas ao funcionamento de equipamentos eletrônicos utilizados nas atividades institucionais, especialmente dois microfones sem fio utilizados no plenário da Casa Legislativa.</w:t>
            </w:r>
          </w:p>
          <w:p>
            <w:pPr>
              <w:pStyle w:val="BodyText"/>
              <w:suppressAutoHyphens w:val="false"/>
              <w:overflowPunct w:val="false"/>
              <w:spacing w:before="0" w:after="280"/>
              <w:rPr>
                <w:rFonts w:cs="Times New Roman"/>
                <w:sz w:val="24"/>
                <w:szCs w:val="24"/>
              </w:rPr>
            </w:pPr>
            <w:r>
              <w:rPr>
                <w:rFonts w:cs="Times New Roman"/>
                <w:sz w:val="24"/>
                <w:szCs w:val="24"/>
              </w:rPr>
              <w:t>Embora o plenário da Câmara possua sistema de microfones com fio, existem dois microfones sem fio que são utilizados para proporcionar maior mobilidade durante as sessões plenárias, audiências públicas, sessões solenes e demais eventos institucionais, permitindo a participação de autoridades convidadas, servidores e cidadãos presentes no plenário. O funcionamento adequado desses equipamentos depende diretamente da utilização de pilhas em condições apropriadas de uso.</w:t>
            </w:r>
          </w:p>
          <w:p>
            <w:pPr>
              <w:pStyle w:val="BodyText"/>
              <w:suppressAutoHyphens w:val="false"/>
              <w:overflowPunct w:val="false"/>
              <w:spacing w:before="0" w:after="280"/>
              <w:rPr>
                <w:rFonts w:cs="Times New Roman"/>
                <w:sz w:val="24"/>
                <w:szCs w:val="24"/>
              </w:rPr>
            </w:pPr>
            <w:r>
              <w:rPr>
                <w:rFonts w:cs="Times New Roman"/>
                <w:sz w:val="24"/>
                <w:szCs w:val="24"/>
              </w:rPr>
              <w:t>As pilhas recarregáveis serão utilizadas no uso cotidiano das atividades legislativas, permitindo sua reutilização por meio de ciclos de recarga, o que contribui para maior economicidade e redução de resíduos. Já as pilhas alcalinas descartáveis serão destinadas principalmente a eventos de maior duração, como sessões solenes e audiências públicas, nos quais se faz necessária maior autonomia de funcionamento dos equipamentos, reduzindo o risco de interrupções durante a realização das atividades.</w:t>
            </w:r>
          </w:p>
          <w:p>
            <w:pPr>
              <w:pStyle w:val="BodyText"/>
              <w:suppressAutoHyphens w:val="false"/>
              <w:overflowPunct w:val="false"/>
              <w:spacing w:before="0" w:after="280"/>
              <w:rPr>
                <w:rFonts w:cs="Times New Roman"/>
                <w:sz w:val="24"/>
                <w:szCs w:val="24"/>
              </w:rPr>
            </w:pPr>
            <w:r>
              <w:rPr>
                <w:rFonts w:cs="Times New Roman"/>
                <w:sz w:val="24"/>
                <w:szCs w:val="24"/>
              </w:rPr>
              <w:t>A adoç</w:t>
            </w:r>
            <w:r>
              <w:rPr>
                <w:rFonts w:cs="Times New Roman"/>
                <w:b w:val="false"/>
                <w:bCs w:val="false"/>
                <w:sz w:val="24"/>
                <w:szCs w:val="24"/>
              </w:rPr>
              <w:t xml:space="preserve">ão do </w:t>
            </w:r>
            <w:r>
              <w:rPr>
                <w:rStyle w:val="Strong"/>
                <w:rFonts w:cs="Times New Roman"/>
                <w:b w:val="false"/>
                <w:bCs w:val="false"/>
                <w:sz w:val="24"/>
                <w:szCs w:val="24"/>
              </w:rPr>
              <w:t>Sistema de Registro de Preços</w:t>
            </w:r>
            <w:r>
              <w:rPr>
                <w:rFonts w:cs="Times New Roman"/>
                <w:b w:val="false"/>
                <w:bCs w:val="false"/>
                <w:sz w:val="24"/>
                <w:szCs w:val="24"/>
              </w:rPr>
              <w:t xml:space="preserve"> mostra-se a alternativa mais adequada para a Câmara Municipal, considerando que a demanda por esses materiais ocorre de forma </w:t>
            </w:r>
            <w:r>
              <w:rPr>
                <w:rStyle w:val="Strong"/>
                <w:rFonts w:cs="Times New Roman"/>
                <w:b w:val="false"/>
                <w:bCs w:val="false"/>
                <w:sz w:val="24"/>
                <w:szCs w:val="24"/>
              </w:rPr>
              <w:t>parcelada e conforme a necessidade ao longo do tempo</w:t>
            </w:r>
            <w:r>
              <w:rPr>
                <w:rFonts w:cs="Times New Roman"/>
                <w:b w:val="false"/>
                <w:bCs w:val="false"/>
                <w:sz w:val="24"/>
                <w:szCs w:val="24"/>
              </w:rPr>
              <w:t>, não sendo possível definir com exatidão o quantitativo que será utilizado em determinado período. Dessa forma, o registro de preços permite maior flexibilidade na aquisição, evitando a formação de estoques desnecessários, garantindo o abastecimento quando necessário e promovendo maior eficiência na gestão dos recursos públicos.</w:t>
            </w:r>
          </w:p>
          <w:p>
            <w:pPr>
              <w:pStyle w:val="BodyText"/>
              <w:suppressAutoHyphens w:val="false"/>
              <w:overflowPunct w:val="false"/>
              <w:spacing w:before="0" w:after="280"/>
              <w:rPr>
                <w:rFonts w:cs="Times New Roman"/>
                <w:sz w:val="24"/>
                <w:szCs w:val="24"/>
              </w:rPr>
            </w:pPr>
            <w:r>
              <w:rPr>
                <w:rFonts w:cs="Times New Roman"/>
                <w:b w:val="false"/>
                <w:bCs w:val="false"/>
                <w:sz w:val="24"/>
                <w:szCs w:val="24"/>
              </w:rPr>
              <w:t xml:space="preserve">Assim, a realização do processo licitatório para </w:t>
            </w:r>
            <w:r>
              <w:rPr>
                <w:rStyle w:val="Strong"/>
                <w:rFonts w:cs="Times New Roman"/>
                <w:b w:val="false"/>
                <w:bCs w:val="false"/>
                <w:sz w:val="24"/>
                <w:szCs w:val="24"/>
              </w:rPr>
              <w:t>registro de preços</w:t>
            </w:r>
            <w:r>
              <w:rPr>
                <w:rFonts w:cs="Times New Roman"/>
                <w:sz w:val="24"/>
                <w:szCs w:val="24"/>
              </w:rPr>
              <w:t xml:space="preserve"> mostra-se necessária para assegurar a disponibilidade desses insumos, garantindo o pleno funcionamento dos microfones sem fio utilizados no plenário e a adequada realização das atividades legislativas da Câmara Municipal de Três Passos/RS.</w:t>
            </w:r>
          </w:p>
          <w:p>
            <w:pPr>
              <w:pStyle w:val="BodyText"/>
              <w:suppressAutoHyphens w:val="false"/>
              <w:overflowPunct w:val="false"/>
              <w:spacing w:before="0" w:after="280"/>
              <w:rPr>
                <w:rFonts w:cs="Times New Roman"/>
                <w:sz w:val="24"/>
                <w:szCs w:val="24"/>
              </w:rPr>
            </w:pPr>
            <w:r>
              <w:rPr>
                <w:rFonts w:cs="Times New Roman"/>
                <w:sz w:val="24"/>
                <w:szCs w:val="24"/>
              </w:rPr>
              <w:t>A  indicação das marcas Duracell, Energizer, Rayovac e Elgin se justifica por se tratarem de fabricantes amplamente reconhecidos no mercado pela qualidade, durabilidade e confiabilidade de suas pilhas alcalinas. Essas marcas apresentam desempenho comprovado em diferentes tipos de equipamentos, desde dispositivos de baixo consumo até os de uso contínuo, garantindo eficiência operacional e reduzindo a necessidade de substituições frequentes. Além disso, oferecem equilíbrio entre custo e benefício, fator essencial para a administração pública, permitindo economicidade sem comprometer a qualidade. Dessa forma, a indicação visa assegurar a continuidade dos serviços, a padronização dos materiais adquiridos e a otimização dos recursos público</w:t>
            </w:r>
          </w:p>
        </w:tc>
      </w:tr>
    </w:tbl>
    <w:p>
      <w:pPr>
        <w:pStyle w:val="Normal"/>
        <w:jc w:val="both"/>
        <w:rPr>
          <w:sz w:val="24"/>
          <w:szCs w:val="24"/>
        </w:rPr>
      </w:pPr>
      <w:r>
        <w:rPr>
          <w:sz w:val="24"/>
          <w:szCs w:val="24"/>
        </w:rPr>
        <w:tab/>
      </w:r>
    </w:p>
    <w:p>
      <w:pPr>
        <w:pStyle w:val="Standard"/>
        <w:jc w:val="both"/>
        <w:rPr>
          <w:sz w:val="24"/>
          <w:szCs w:val="24"/>
        </w:rPr>
      </w:pPr>
      <w:r>
        <w:rPr>
          <w:b/>
          <w:bCs/>
          <w:color w:val="FF0000"/>
          <w:sz w:val="24"/>
          <w:szCs w:val="24"/>
        </w:rPr>
        <w:tab/>
      </w:r>
      <w:r>
        <w:rPr>
          <w:color w:val="FF0000"/>
          <w:sz w:val="24"/>
          <w:szCs w:val="24"/>
        </w:rPr>
        <w:tab/>
      </w:r>
    </w:p>
    <w:tbl>
      <w:tblPr>
        <w:tblW w:w="9400" w:type="dxa"/>
        <w:jc w:val="left"/>
        <w:tblInd w:w="77" w:type="dxa"/>
        <w:tblLayout w:type="fixed"/>
        <w:tblCellMar>
          <w:top w:w="55" w:type="dxa"/>
          <w:left w:w="55" w:type="dxa"/>
          <w:bottom w:w="55" w:type="dxa"/>
          <w:right w:w="55" w:type="dxa"/>
        </w:tblCellMar>
      </w:tblPr>
      <w:tblGrid>
        <w:gridCol w:w="594"/>
        <w:gridCol w:w="5688"/>
        <w:gridCol w:w="1365"/>
        <w:gridCol w:w="783"/>
        <w:gridCol w:w="970"/>
      </w:tblGrid>
      <w:tr>
        <w:trPr/>
        <w:tc>
          <w:tcPr>
            <w:tcW w:w="9400"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0"/>
              <w:ind w:hanging="0" w:left="0"/>
              <w:contextualSpacing/>
              <w:jc w:val="both"/>
              <w:rPr>
                <w:sz w:val="24"/>
                <w:szCs w:val="24"/>
              </w:rPr>
            </w:pPr>
            <w:r>
              <w:rPr>
                <w:rFonts w:ascii="Times New Roman" w:hAnsi="Times New Roman"/>
                <w:b/>
                <w:bCs/>
                <w:sz w:val="24"/>
                <w:szCs w:val="24"/>
              </w:rPr>
              <w:t>PRODUTOS A SEREM ADQUIRIDOS</w:t>
            </w:r>
          </w:p>
        </w:tc>
      </w:tr>
      <w:tr>
        <w:trPr/>
        <w:tc>
          <w:tcPr>
            <w:tcW w:w="594"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0"/>
              <w:jc w:val="center"/>
              <w:rPr>
                <w:b/>
                <w:bCs/>
                <w:sz w:val="18"/>
                <w:szCs w:val="18"/>
              </w:rPr>
            </w:pPr>
            <w:r>
              <w:rPr>
                <w:b/>
                <w:bCs/>
                <w:i w:val="false"/>
                <w:iCs w:val="false"/>
                <w:color w:val="000000"/>
                <w:sz w:val="18"/>
                <w:szCs w:val="18"/>
              </w:rPr>
              <w:t>ITEM</w:t>
            </w:r>
          </w:p>
        </w:tc>
        <w:tc>
          <w:tcPr>
            <w:tcW w:w="5688"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b/>
                <w:bCs/>
                <w:sz w:val="18"/>
                <w:szCs w:val="18"/>
              </w:rPr>
            </w:pPr>
            <w:r>
              <w:rPr>
                <w:b/>
                <w:bCs/>
                <w:color w:val="000000"/>
                <w:sz w:val="18"/>
                <w:szCs w:val="18"/>
              </w:rPr>
              <w:t>DESCRIÇÃO</w:t>
            </w:r>
          </w:p>
        </w:tc>
        <w:tc>
          <w:tcPr>
            <w:tcW w:w="1365"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b/>
                <w:bCs/>
                <w:sz w:val="18"/>
                <w:szCs w:val="18"/>
              </w:rPr>
            </w:pPr>
            <w:r>
              <w:rPr>
                <w:b/>
                <w:bCs/>
                <w:sz w:val="18"/>
                <w:szCs w:val="18"/>
              </w:rPr>
              <w:t>MARCA DE REFERÊNCIA</w:t>
            </w:r>
          </w:p>
        </w:tc>
        <w:tc>
          <w:tcPr>
            <w:tcW w:w="783"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b/>
                <w:bCs/>
                <w:sz w:val="18"/>
                <w:szCs w:val="18"/>
              </w:rPr>
            </w:pPr>
            <w:r>
              <w:rPr>
                <w:b/>
                <w:bCs/>
                <w:color w:val="000000"/>
                <w:sz w:val="18"/>
                <w:szCs w:val="18"/>
              </w:rPr>
              <w:t>UNID.</w:t>
            </w:r>
          </w:p>
        </w:tc>
        <w:tc>
          <w:tcPr>
            <w:tcW w:w="970" w:type="dxa"/>
            <w:tcBorders>
              <w:left w:val="single" w:sz="4" w:space="0" w:color="000000"/>
              <w:bottom w:val="single" w:sz="4" w:space="0" w:color="000000"/>
              <w:right w:val="single" w:sz="4" w:space="0" w:color="000000"/>
            </w:tcBorders>
          </w:tcPr>
          <w:p>
            <w:pPr>
              <w:pStyle w:val="Normal"/>
              <w:widowControl w:val="false"/>
              <w:suppressAutoHyphens w:val="true"/>
              <w:overflowPunct w:val="false"/>
              <w:bidi w:val="0"/>
              <w:spacing w:before="0" w:after="0"/>
              <w:ind w:hanging="0" w:left="0" w:right="57"/>
              <w:jc w:val="center"/>
              <w:rPr>
                <w:b/>
                <w:bCs/>
                <w:sz w:val="18"/>
                <w:szCs w:val="18"/>
              </w:rPr>
            </w:pPr>
            <w:r>
              <w:rPr>
                <w:b/>
                <w:bCs/>
                <w:color w:val="000000"/>
                <w:sz w:val="18"/>
                <w:szCs w:val="18"/>
              </w:rPr>
              <w:t>QUANT.</w:t>
            </w:r>
          </w:p>
        </w:tc>
      </w:tr>
      <w:tr>
        <w:trPr/>
        <w:tc>
          <w:tcPr>
            <w:tcW w:w="594"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sz w:val="24"/>
                <w:szCs w:val="24"/>
              </w:rPr>
            </w:pPr>
            <w:r>
              <w:rPr>
                <w:b/>
                <w:bCs/>
                <w:color w:val="000000"/>
                <w:sz w:val="24"/>
                <w:szCs w:val="24"/>
              </w:rPr>
              <w:t xml:space="preserve"> </w:t>
            </w:r>
            <w:r>
              <w:rPr>
                <w:b/>
                <w:bCs/>
                <w:color w:val="000000"/>
                <w:sz w:val="24"/>
                <w:szCs w:val="24"/>
              </w:rPr>
              <w:t>01</w:t>
            </w:r>
          </w:p>
        </w:tc>
        <w:tc>
          <w:tcPr>
            <w:tcW w:w="5688" w:type="dxa"/>
            <w:tcBorders>
              <w:left w:val="single" w:sz="4" w:space="0" w:color="000000"/>
              <w:bottom w:val="single" w:sz="4" w:space="0" w:color="000000"/>
            </w:tcBorders>
          </w:tcPr>
          <w:p>
            <w:pPr>
              <w:pStyle w:val="BodyText"/>
              <w:tabs>
                <w:tab w:val="clear" w:pos="845"/>
                <w:tab w:val="left" w:pos="3640" w:leader="none"/>
              </w:tabs>
              <w:spacing w:lineRule="auto" w:line="240" w:before="0" w:after="283"/>
              <w:ind w:hanging="0" w:left="0" w:right="170"/>
              <w:rPr>
                <w:sz w:val="24"/>
                <w:szCs w:val="24"/>
              </w:rPr>
            </w:pPr>
            <w:r>
              <w:rPr>
                <w:rStyle w:val="Strong"/>
                <w:rFonts w:cs="Palatino Linotype"/>
                <w:i w:val="false"/>
                <w:iCs w:val="false"/>
                <w:caps w:val="false"/>
                <w:smallCaps w:val="false"/>
                <w:strike w:val="false"/>
                <w:dstrike w:val="false"/>
                <w:outline w:val="false"/>
                <w:shadow w:val="false"/>
                <w:color w:val="000000"/>
                <w:spacing w:val="0"/>
                <w:sz w:val="24"/>
                <w:szCs w:val="24"/>
                <w:u w:val="none"/>
                <w:em w:val="none"/>
              </w:rPr>
              <w:t>Pilha Alcalina AA (não recarregável)</w:t>
            </w:r>
            <w:r>
              <w:rPr>
                <w:rFonts w:cs="Palatino Linotype"/>
                <w:b/>
                <w:bCs/>
                <w:i w:val="false"/>
                <w:iCs w:val="false"/>
                <w:caps w:val="false"/>
                <w:smallCaps w:val="false"/>
                <w:strike w:val="false"/>
                <w:dstrike w:val="false"/>
                <w:outline w:val="false"/>
                <w:shadow w:val="false"/>
                <w:color w:val="000000"/>
                <w:spacing w:val="0"/>
                <w:sz w:val="24"/>
                <w:szCs w:val="24"/>
                <w:u w:val="none"/>
                <w:em w:val="none"/>
              </w:rPr>
              <w:br/>
            </w:r>
            <w:r>
              <w:rPr>
                <w:rFonts w:cs="Palatino Linotype"/>
                <w:b w:val="false"/>
                <w:bCs w:val="false"/>
                <w:i w:val="false"/>
                <w:iCs w:val="false"/>
                <w:caps w:val="false"/>
                <w:smallCaps w:val="false"/>
                <w:strike w:val="false"/>
                <w:dstrike w:val="false"/>
                <w:outline w:val="false"/>
                <w:shadow w:val="false"/>
                <w:color w:val="000000"/>
                <w:spacing w:val="0"/>
                <w:sz w:val="24"/>
                <w:szCs w:val="24"/>
                <w:u w:val="none"/>
                <w:em w:val="none"/>
              </w:rPr>
              <w:t>Pilha alcalina tamanho AA, não recarregável, tensão nominal de 1,5V, composta por dióxido de manganês alcalino, indicada para equipamentos eletrônicos em geral, tais como controles, microfones, relógios, mouses, teclados e outros dispositivos utilizados nas atividades administrativas. Produto novo, de primeira linha, com prazo de validade mínimo de 24 (vinte e quatro) meses a partir da data de entrega. Deverá atender às normas vigentes de qualidade e segurança, possuir identificação do fabricante, lote e data de validade impressos na embalagem ou no corpo do produto.</w:t>
            </w:r>
          </w:p>
        </w:tc>
        <w:tc>
          <w:tcPr>
            <w:tcW w:w="1365" w:type="dxa"/>
            <w:tcBorders>
              <w:left w:val="single" w:sz="4" w:space="0" w:color="000000"/>
              <w:bottom w:val="single" w:sz="4" w:space="0" w:color="000000"/>
            </w:tcBorders>
          </w:tcPr>
          <w:p>
            <w:pPr>
              <w:pStyle w:val="BodyText"/>
              <w:widowControl w:val="false"/>
              <w:suppressAutoHyphens w:val="true"/>
              <w:overflowPunct w:val="false"/>
              <w:bidi w:val="0"/>
              <w:spacing w:lineRule="auto" w:line="240" w:before="0" w:after="0"/>
              <w:ind w:hanging="0" w:left="0" w:right="0"/>
              <w:jc w:val="both"/>
              <w:rPr>
                <w:rFonts w:cs="Times New Roman"/>
                <w:sz w:val="24"/>
                <w:szCs w:val="24"/>
              </w:rPr>
            </w:pPr>
            <w:r>
              <w:rPr>
                <w:rStyle w:val="Strong"/>
                <w:rFonts w:cs="Times New Roman"/>
                <w:sz w:val="24"/>
                <w:szCs w:val="24"/>
              </w:rPr>
              <w:t>Duracell, Energizer, Rayovac ou</w:t>
            </w:r>
            <w:r>
              <w:rPr>
                <w:rFonts w:cs="Times New Roman"/>
                <w:sz w:val="24"/>
                <w:szCs w:val="24"/>
              </w:rPr>
              <w:t xml:space="preserve"> </w:t>
            </w:r>
            <w:r>
              <w:rPr>
                <w:rStyle w:val="Strong"/>
                <w:rFonts w:cs="Times New Roman"/>
                <w:sz w:val="24"/>
                <w:szCs w:val="24"/>
              </w:rPr>
              <w:t>Elgin.</w:t>
            </w:r>
          </w:p>
          <w:p>
            <w:pPr>
              <w:pStyle w:val="Normal"/>
              <w:widowControl w:val="false"/>
              <w:suppressAutoHyphens w:val="true"/>
              <w:overflowPunct w:val="false"/>
              <w:bidi w:val="0"/>
              <w:spacing w:lineRule="auto" w:line="240" w:before="0" w:after="0"/>
              <w:ind w:hanging="0" w:left="0" w:right="0"/>
              <w:jc w:val="center"/>
              <w:rPr>
                <w:sz w:val="24"/>
                <w:szCs w:val="24"/>
              </w:rPr>
            </w:pPr>
            <w:r>
              <w:rPr>
                <w:sz w:val="24"/>
                <w:szCs w:val="24"/>
              </w:rPr>
            </w:r>
          </w:p>
        </w:tc>
        <w:tc>
          <w:tcPr>
            <w:tcW w:w="783"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hanging="0" w:left="0" w:right="0"/>
              <w:jc w:val="center"/>
              <w:rPr>
                <w:sz w:val="24"/>
                <w:szCs w:val="24"/>
              </w:rPr>
            </w:pPr>
            <w:r>
              <w:rPr>
                <w:color w:val="000000"/>
                <w:sz w:val="24"/>
                <w:szCs w:val="24"/>
              </w:rPr>
              <w:t>Par</w:t>
            </w:r>
          </w:p>
        </w:tc>
        <w:tc>
          <w:tcPr>
            <w:tcW w:w="970" w:type="dxa"/>
            <w:tcBorders>
              <w:left w:val="single" w:sz="4" w:space="0" w:color="000000"/>
              <w:bottom w:val="single" w:sz="4" w:space="0" w:color="000000"/>
              <w:right w:val="single" w:sz="4" w:space="0" w:color="000000"/>
            </w:tcBorders>
          </w:tcPr>
          <w:p>
            <w:pPr>
              <w:pStyle w:val="Normal"/>
              <w:widowControl w:val="false"/>
              <w:suppressAutoHyphens w:val="true"/>
              <w:overflowPunct w:val="false"/>
              <w:bidi w:val="0"/>
              <w:spacing w:lineRule="auto" w:line="240" w:before="0" w:after="0"/>
              <w:ind w:hanging="0" w:left="0" w:right="0"/>
              <w:jc w:val="center"/>
              <w:rPr>
                <w:sz w:val="24"/>
                <w:szCs w:val="24"/>
              </w:rPr>
            </w:pPr>
            <w:r>
              <w:rPr>
                <w:color w:val="000000"/>
                <w:sz w:val="24"/>
                <w:szCs w:val="24"/>
              </w:rPr>
              <w:t>40</w:t>
            </w:r>
          </w:p>
          <w:p>
            <w:pPr>
              <w:pStyle w:val="Normal"/>
              <w:widowControl w:val="false"/>
              <w:suppressAutoHyphens w:val="true"/>
              <w:overflowPunct w:val="false"/>
              <w:bidi w:val="0"/>
              <w:spacing w:lineRule="auto" w:line="240" w:before="0" w:after="0"/>
              <w:ind w:hanging="0" w:left="0" w:right="0"/>
              <w:jc w:val="center"/>
              <w:rPr>
                <w:rFonts w:ascii="Times New Roman" w:hAnsi="Times New Roman"/>
                <w:color w:val="000000"/>
                <w:sz w:val="24"/>
                <w:szCs w:val="24"/>
              </w:rPr>
            </w:pPr>
            <w:r>
              <w:rPr>
                <w:color w:val="000000"/>
                <w:sz w:val="24"/>
                <w:szCs w:val="24"/>
              </w:rPr>
            </w:r>
          </w:p>
          <w:p>
            <w:pPr>
              <w:pStyle w:val="Normal"/>
              <w:widowControl w:val="false"/>
              <w:suppressAutoHyphens w:val="true"/>
              <w:overflowPunct w:val="false"/>
              <w:bidi w:val="0"/>
              <w:spacing w:lineRule="auto" w:line="240" w:before="0" w:after="0"/>
              <w:ind w:hanging="0" w:left="0" w:right="0"/>
              <w:jc w:val="center"/>
              <w:rPr>
                <w:rFonts w:ascii="Times New Roman" w:hAnsi="Times New Roman"/>
                <w:color w:val="000000"/>
                <w:sz w:val="24"/>
                <w:szCs w:val="24"/>
              </w:rPr>
            </w:pPr>
            <w:r>
              <w:rPr>
                <w:color w:val="000000"/>
                <w:sz w:val="24"/>
                <w:szCs w:val="24"/>
              </w:rPr>
            </w:r>
          </w:p>
          <w:p>
            <w:pPr>
              <w:pStyle w:val="Normal"/>
              <w:widowControl w:val="false"/>
              <w:suppressAutoHyphens w:val="true"/>
              <w:overflowPunct w:val="false"/>
              <w:bidi w:val="0"/>
              <w:spacing w:lineRule="auto" w:line="240" w:before="0" w:after="0"/>
              <w:ind w:hanging="0" w:left="0" w:right="0"/>
              <w:jc w:val="center"/>
              <w:rPr>
                <w:rFonts w:ascii="Times New Roman" w:hAnsi="Times New Roman"/>
                <w:color w:val="000000"/>
                <w:sz w:val="24"/>
                <w:szCs w:val="24"/>
              </w:rPr>
            </w:pPr>
            <w:r>
              <w:rPr>
                <w:color w:val="000000"/>
                <w:sz w:val="24"/>
                <w:szCs w:val="24"/>
              </w:rPr>
            </w:r>
          </w:p>
          <w:p>
            <w:pPr>
              <w:pStyle w:val="Normal"/>
              <w:widowControl w:val="false"/>
              <w:suppressAutoHyphens w:val="true"/>
              <w:overflowPunct w:val="false"/>
              <w:bidi w:val="0"/>
              <w:spacing w:lineRule="auto" w:line="240" w:before="0" w:after="0"/>
              <w:ind w:hanging="0" w:left="0" w:right="0"/>
              <w:jc w:val="center"/>
              <w:rPr>
                <w:rFonts w:ascii="Times New Roman" w:hAnsi="Times New Roman"/>
                <w:color w:val="000000"/>
                <w:sz w:val="24"/>
                <w:szCs w:val="24"/>
              </w:rPr>
            </w:pPr>
            <w:r>
              <w:rPr>
                <w:color w:val="000000"/>
                <w:sz w:val="24"/>
                <w:szCs w:val="24"/>
              </w:rPr>
            </w:r>
          </w:p>
        </w:tc>
      </w:tr>
      <w:tr>
        <w:trPr/>
        <w:tc>
          <w:tcPr>
            <w:tcW w:w="594"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b/>
                <w:bCs/>
                <w:sz w:val="24"/>
                <w:szCs w:val="24"/>
              </w:rPr>
            </w:pPr>
            <w:r>
              <w:rPr>
                <w:b/>
                <w:bCs/>
                <w:sz w:val="24"/>
                <w:szCs w:val="24"/>
              </w:rPr>
              <w:t>02</w:t>
            </w:r>
          </w:p>
        </w:tc>
        <w:tc>
          <w:tcPr>
            <w:tcW w:w="5688" w:type="dxa"/>
            <w:tcBorders>
              <w:left w:val="single" w:sz="4" w:space="0" w:color="000000"/>
              <w:bottom w:val="single" w:sz="4" w:space="0" w:color="000000"/>
            </w:tcBorders>
          </w:tcPr>
          <w:p>
            <w:pPr>
              <w:pStyle w:val="BodyText"/>
              <w:tabs>
                <w:tab w:val="clear" w:pos="845"/>
                <w:tab w:val="left" w:pos="3640" w:leader="none"/>
              </w:tabs>
              <w:spacing w:lineRule="auto" w:line="240" w:before="0" w:after="283"/>
              <w:ind w:hanging="0" w:left="0" w:right="170"/>
              <w:rPr>
                <w:sz w:val="24"/>
                <w:szCs w:val="24"/>
              </w:rPr>
            </w:pPr>
            <w:r>
              <w:rPr>
                <w:rStyle w:val="Strong"/>
                <w:rFonts w:cs="Palatino Linotype"/>
                <w:i w:val="false"/>
                <w:iCs w:val="false"/>
                <w:caps w:val="false"/>
                <w:smallCaps w:val="false"/>
                <w:strike w:val="false"/>
                <w:dstrike w:val="false"/>
                <w:outline w:val="false"/>
                <w:shadow w:val="false"/>
                <w:color w:val="000000"/>
                <w:spacing w:val="0"/>
                <w:sz w:val="24"/>
                <w:szCs w:val="24"/>
                <w:u w:val="none"/>
                <w:em w:val="none"/>
              </w:rPr>
              <w:t>Pilha Alcalina AAA (não recarregável)</w:t>
            </w:r>
            <w:r>
              <w:rPr>
                <w:rFonts w:cs="Palatino Linotype"/>
                <w:b/>
                <w:bCs/>
                <w:i w:val="false"/>
                <w:iCs w:val="false"/>
                <w:caps w:val="false"/>
                <w:smallCaps w:val="false"/>
                <w:strike w:val="false"/>
                <w:dstrike w:val="false"/>
                <w:outline w:val="false"/>
                <w:shadow w:val="false"/>
                <w:color w:val="000000"/>
                <w:spacing w:val="0"/>
                <w:sz w:val="24"/>
                <w:szCs w:val="24"/>
                <w:u w:val="none"/>
                <w:em w:val="none"/>
              </w:rPr>
              <w:br/>
            </w:r>
            <w:r>
              <w:rPr>
                <w:rFonts w:cs="Palatino Linotype"/>
                <w:b w:val="false"/>
                <w:bCs w:val="false"/>
                <w:i w:val="false"/>
                <w:iCs w:val="false"/>
                <w:caps w:val="false"/>
                <w:smallCaps w:val="false"/>
                <w:strike w:val="false"/>
                <w:dstrike w:val="false"/>
                <w:outline w:val="false"/>
                <w:shadow w:val="false"/>
                <w:color w:val="000000"/>
                <w:spacing w:val="0"/>
                <w:sz w:val="24"/>
                <w:szCs w:val="24"/>
                <w:u w:val="none"/>
                <w:em w:val="none"/>
              </w:rPr>
              <w:t>Pilha alcalina tamanho AAA, não recarregável, com tensão nominal de 1,5V, indicada para uso em equipamentos eletrônicos diversos, tais como controles remotos, mouses, teclados, relógios e outros dispositivos utilizados nas atividades administrativas da Câmara Municipal. Produto novo, de primeira linha, com prazo de validade mínimo de 24 (vinte e quatro) meses a partir da data de entrega. Deverá atender às normas vigentes de qualidade e segurança, contendo identificação do fabricante, lote e data de validade impressos na embalagem ou no corpo do produto.</w:t>
            </w:r>
          </w:p>
        </w:tc>
        <w:tc>
          <w:tcPr>
            <w:tcW w:w="1365" w:type="dxa"/>
            <w:tcBorders>
              <w:left w:val="single" w:sz="4" w:space="0" w:color="000000"/>
              <w:bottom w:val="single" w:sz="4" w:space="0" w:color="000000"/>
            </w:tcBorders>
          </w:tcPr>
          <w:p>
            <w:pPr>
              <w:pStyle w:val="BodyText"/>
              <w:widowControl w:val="false"/>
              <w:suppressAutoHyphens w:val="true"/>
              <w:overflowPunct w:val="false"/>
              <w:bidi w:val="0"/>
              <w:spacing w:lineRule="auto" w:line="240" w:before="0" w:after="0"/>
              <w:ind w:hanging="0" w:left="0" w:right="0"/>
              <w:jc w:val="both"/>
              <w:rPr>
                <w:rFonts w:cs="Times New Roman"/>
                <w:sz w:val="24"/>
                <w:szCs w:val="24"/>
              </w:rPr>
            </w:pPr>
            <w:r>
              <w:rPr>
                <w:rStyle w:val="Strong"/>
                <w:rFonts w:cs="Times New Roman"/>
                <w:sz w:val="24"/>
                <w:szCs w:val="24"/>
              </w:rPr>
              <w:t>Duracell, Energizer, Rayovac ou</w:t>
            </w:r>
            <w:r>
              <w:rPr>
                <w:rFonts w:cs="Times New Roman"/>
                <w:sz w:val="24"/>
                <w:szCs w:val="24"/>
              </w:rPr>
              <w:t xml:space="preserve"> </w:t>
            </w:r>
            <w:r>
              <w:rPr>
                <w:rStyle w:val="Strong"/>
                <w:rFonts w:cs="Times New Roman"/>
                <w:sz w:val="24"/>
                <w:szCs w:val="24"/>
              </w:rPr>
              <w:t>Elgin.</w:t>
            </w:r>
          </w:p>
        </w:tc>
        <w:tc>
          <w:tcPr>
            <w:tcW w:w="783"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hanging="0" w:left="0" w:right="0"/>
              <w:jc w:val="center"/>
              <w:rPr>
                <w:sz w:val="24"/>
                <w:szCs w:val="24"/>
              </w:rPr>
            </w:pPr>
            <w:r>
              <w:rPr>
                <w:sz w:val="24"/>
                <w:szCs w:val="24"/>
              </w:rPr>
              <w:t>Par</w:t>
            </w:r>
          </w:p>
        </w:tc>
        <w:tc>
          <w:tcPr>
            <w:tcW w:w="970" w:type="dxa"/>
            <w:tcBorders>
              <w:left w:val="single" w:sz="4" w:space="0" w:color="000000"/>
              <w:bottom w:val="single" w:sz="4" w:space="0" w:color="000000"/>
              <w:right w:val="single" w:sz="4" w:space="0" w:color="000000"/>
            </w:tcBorders>
          </w:tcPr>
          <w:p>
            <w:pPr>
              <w:pStyle w:val="Normal"/>
              <w:widowControl w:val="false"/>
              <w:suppressAutoHyphens w:val="true"/>
              <w:overflowPunct w:val="false"/>
              <w:bidi w:val="0"/>
              <w:spacing w:lineRule="auto" w:line="240" w:before="0" w:after="0"/>
              <w:ind w:hanging="0" w:left="0" w:right="0"/>
              <w:jc w:val="center"/>
              <w:rPr>
                <w:sz w:val="24"/>
                <w:szCs w:val="24"/>
              </w:rPr>
            </w:pPr>
            <w:r>
              <w:rPr>
                <w:sz w:val="24"/>
                <w:szCs w:val="24"/>
              </w:rPr>
              <w:t>20</w:t>
            </w:r>
          </w:p>
        </w:tc>
      </w:tr>
      <w:tr>
        <w:trPr>
          <w:trHeight w:val="416" w:hRule="atLeast"/>
        </w:trPr>
        <w:tc>
          <w:tcPr>
            <w:tcW w:w="594"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sz w:val="24"/>
                <w:szCs w:val="24"/>
              </w:rPr>
            </w:pPr>
            <w:r>
              <w:rPr>
                <w:b/>
                <w:bCs/>
                <w:color w:val="000000"/>
                <w:sz w:val="24"/>
                <w:szCs w:val="24"/>
              </w:rPr>
              <w:t>03</w:t>
            </w:r>
          </w:p>
        </w:tc>
        <w:tc>
          <w:tcPr>
            <w:tcW w:w="5688" w:type="dxa"/>
            <w:tcBorders>
              <w:left w:val="single" w:sz="4" w:space="0" w:color="000000"/>
              <w:bottom w:val="single" w:sz="4" w:space="0" w:color="000000"/>
            </w:tcBorders>
          </w:tcPr>
          <w:p>
            <w:pPr>
              <w:pStyle w:val="BodyText"/>
              <w:spacing w:lineRule="auto" w:line="240" w:before="0" w:after="0"/>
              <w:ind w:hanging="0" w:left="0" w:right="170"/>
              <w:rPr>
                <w:rStyle w:val="Strong"/>
                <w:rFonts w:eastAsia="Times New Roman" w:cs="Calibri"/>
                <w:color w:val="000000"/>
                <w:kern w:val="0"/>
                <w:sz w:val="24"/>
                <w:szCs w:val="24"/>
                <w:lang w:eastAsia="pt-BR"/>
              </w:rPr>
            </w:pPr>
            <w:r>
              <w:rPr>
                <w:rStyle w:val="Strong"/>
                <w:rFonts w:eastAsia="Times New Roman" w:cs="Calibri"/>
                <w:color w:val="000000"/>
                <w:kern w:val="0"/>
                <w:sz w:val="24"/>
                <w:szCs w:val="24"/>
                <w:lang w:eastAsia="pt-BR"/>
              </w:rPr>
              <w:t>Pilha Recarregável AA</w:t>
              <w:br/>
            </w:r>
            <w:r>
              <w:rPr>
                <w:rStyle w:val="Strong"/>
                <w:rFonts w:eastAsia="Times New Roman" w:cs="Calibri"/>
                <w:b w:val="false"/>
                <w:bCs w:val="false"/>
                <w:color w:val="000000"/>
                <w:kern w:val="0"/>
                <w:sz w:val="24"/>
                <w:szCs w:val="24"/>
                <w:lang w:eastAsia="pt-BR"/>
              </w:rPr>
              <w:t>Pilha recarregável tamanho AA, tecnologia Ni-MH (Níquel-Hidreto Metálico) ou superior, com tensão nominal de 1,2V e capacidade mínima de 2000 mAh, indicada para uso em equipamentos eletrônicos diversos utilizados nas atividades da Câmara Municipal. Produto novo, de primeira linha, com possibilidade de múltiplos ciclos de recarga, sem efeito memória significativo. Deverá possuir identificação do fabricante e especificações técnicas impressas no corpo da pilha ou embalagem, atendendo às normas vigentes de qualidade e segurança.</w:t>
            </w:r>
          </w:p>
        </w:tc>
        <w:tc>
          <w:tcPr>
            <w:tcW w:w="1365"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hanging="0" w:left="0" w:right="0"/>
              <w:jc w:val="center"/>
              <w:rPr>
                <w:sz w:val="24"/>
                <w:szCs w:val="24"/>
              </w:rPr>
            </w:pPr>
            <w:r>
              <w:rPr>
                <w:sz w:val="24"/>
                <w:szCs w:val="24"/>
              </w:rPr>
            </w:r>
          </w:p>
        </w:tc>
        <w:tc>
          <w:tcPr>
            <w:tcW w:w="783"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hanging="0" w:left="0" w:right="0"/>
              <w:jc w:val="center"/>
              <w:rPr>
                <w:sz w:val="24"/>
                <w:szCs w:val="24"/>
              </w:rPr>
            </w:pPr>
            <w:r>
              <w:rPr>
                <w:color w:val="000000"/>
                <w:sz w:val="24"/>
                <w:szCs w:val="24"/>
              </w:rPr>
              <w:t>Par</w:t>
            </w:r>
          </w:p>
        </w:tc>
        <w:tc>
          <w:tcPr>
            <w:tcW w:w="970" w:type="dxa"/>
            <w:tcBorders>
              <w:left w:val="single" w:sz="4" w:space="0" w:color="000000"/>
              <w:bottom w:val="single" w:sz="4" w:space="0" w:color="000000"/>
              <w:right w:val="single" w:sz="4" w:space="0" w:color="000000"/>
            </w:tcBorders>
          </w:tcPr>
          <w:p>
            <w:pPr>
              <w:pStyle w:val="Normal"/>
              <w:widowControl w:val="false"/>
              <w:suppressAutoHyphens w:val="true"/>
              <w:overflowPunct w:val="false"/>
              <w:bidi w:val="0"/>
              <w:spacing w:lineRule="auto" w:line="240" w:before="0" w:after="0"/>
              <w:ind w:hanging="0" w:left="0" w:right="0"/>
              <w:jc w:val="center"/>
              <w:rPr>
                <w:sz w:val="24"/>
                <w:szCs w:val="24"/>
              </w:rPr>
            </w:pPr>
            <w:r>
              <w:rPr>
                <w:color w:val="000000"/>
                <w:sz w:val="24"/>
                <w:szCs w:val="24"/>
              </w:rPr>
              <w:t>4</w:t>
            </w:r>
          </w:p>
        </w:tc>
      </w:tr>
      <w:tr>
        <w:trPr>
          <w:trHeight w:val="3859" w:hRule="atLeast"/>
        </w:trPr>
        <w:tc>
          <w:tcPr>
            <w:tcW w:w="594"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sz w:val="24"/>
                <w:szCs w:val="24"/>
              </w:rPr>
            </w:pPr>
            <w:r>
              <w:rPr>
                <w:b/>
                <w:bCs/>
                <w:color w:val="000000"/>
                <w:sz w:val="24"/>
                <w:szCs w:val="24"/>
              </w:rPr>
              <w:t xml:space="preserve"> </w:t>
            </w:r>
            <w:r>
              <w:rPr>
                <w:b/>
                <w:bCs/>
                <w:color w:val="000000"/>
                <w:sz w:val="24"/>
                <w:szCs w:val="24"/>
              </w:rPr>
              <w:t>04</w:t>
            </w:r>
          </w:p>
        </w:tc>
        <w:tc>
          <w:tcPr>
            <w:tcW w:w="5688" w:type="dxa"/>
            <w:tcBorders>
              <w:left w:val="single" w:sz="4" w:space="0" w:color="000000"/>
              <w:bottom w:val="single" w:sz="4" w:space="0" w:color="000000"/>
            </w:tcBorders>
          </w:tcPr>
          <w:p>
            <w:pPr>
              <w:pStyle w:val="BodyText"/>
              <w:spacing w:lineRule="auto" w:line="240" w:before="0" w:after="0"/>
              <w:ind w:hanging="0" w:left="0" w:right="170"/>
              <w:rPr>
                <w:rFonts w:cs="Calibri"/>
                <w:color w:val="000000"/>
                <w:sz w:val="24"/>
                <w:szCs w:val="24"/>
              </w:rPr>
            </w:pPr>
            <w:r>
              <w:rPr>
                <w:rStyle w:val="Strong"/>
                <w:rFonts w:cs="Calibri"/>
                <w:color w:val="000000"/>
                <w:sz w:val="24"/>
                <w:szCs w:val="24"/>
              </w:rPr>
              <w:t>Carregador de Pilhas</w:t>
            </w:r>
            <w:r>
              <w:rPr>
                <w:rFonts w:cs="Calibri"/>
                <w:color w:val="000000"/>
                <w:sz w:val="24"/>
                <w:szCs w:val="24"/>
              </w:rPr>
              <w:br/>
              <w:t>Carregador de pilhas compatível com pilhas recarregáveis tipo AA (Ni-MH), com capacidade para carregar  4 (quatro) pilhas simultaneamente, bivolt automático, com indicador luminoso ou sistema equivalente que informe o status do carregamento. O equipamento deverá possuir proteção contra sobrecarga, curto-circuito e superaquecimento, garantindo segurança durante o uso. Produto novo, acompanhado de manual de instruções e certificado conforme normas de segurança aplicáveis.</w:t>
            </w:r>
          </w:p>
        </w:tc>
        <w:tc>
          <w:tcPr>
            <w:tcW w:w="1365"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hanging="0" w:left="0" w:right="0"/>
              <w:jc w:val="center"/>
              <w:rPr>
                <w:sz w:val="24"/>
                <w:szCs w:val="24"/>
              </w:rPr>
            </w:pPr>
            <w:r>
              <w:rPr>
                <w:sz w:val="24"/>
                <w:szCs w:val="24"/>
              </w:rPr>
            </w:r>
          </w:p>
        </w:tc>
        <w:tc>
          <w:tcPr>
            <w:tcW w:w="783"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hanging="0" w:left="0" w:right="0"/>
              <w:jc w:val="center"/>
              <w:rPr>
                <w:sz w:val="24"/>
                <w:szCs w:val="24"/>
              </w:rPr>
            </w:pPr>
            <w:r>
              <w:rPr>
                <w:color w:val="000000"/>
                <w:sz w:val="24"/>
                <w:szCs w:val="24"/>
              </w:rPr>
              <w:t>Unid</w:t>
            </w:r>
          </w:p>
        </w:tc>
        <w:tc>
          <w:tcPr>
            <w:tcW w:w="970" w:type="dxa"/>
            <w:tcBorders>
              <w:left w:val="single" w:sz="4" w:space="0" w:color="000000"/>
              <w:bottom w:val="single" w:sz="4" w:space="0" w:color="000000"/>
              <w:right w:val="single" w:sz="4" w:space="0" w:color="000000"/>
            </w:tcBorders>
          </w:tcPr>
          <w:p>
            <w:pPr>
              <w:pStyle w:val="Normal"/>
              <w:widowControl w:val="false"/>
              <w:suppressAutoHyphens w:val="true"/>
              <w:overflowPunct w:val="false"/>
              <w:bidi w:val="0"/>
              <w:spacing w:lineRule="auto" w:line="240" w:before="0" w:after="0"/>
              <w:ind w:hanging="0" w:left="0" w:right="0"/>
              <w:jc w:val="center"/>
              <w:rPr>
                <w:sz w:val="24"/>
                <w:szCs w:val="24"/>
              </w:rPr>
            </w:pPr>
            <w:r>
              <w:rPr>
                <w:color w:val="000000"/>
                <w:sz w:val="24"/>
                <w:szCs w:val="24"/>
              </w:rPr>
              <w:t>02</w:t>
            </w:r>
          </w:p>
        </w:tc>
      </w:tr>
    </w:tbl>
    <w:p>
      <w:pPr>
        <w:pStyle w:val="Normal"/>
        <w:ind w:left="113"/>
        <w:jc w:val="both"/>
        <w:rPr>
          <w:color w:val="000000"/>
          <w:sz w:val="24"/>
          <w:szCs w:val="24"/>
        </w:rPr>
      </w:pPr>
      <w:r>
        <w:rPr>
          <w:color w:val="000000"/>
          <w:sz w:val="24"/>
          <w:szCs w:val="24"/>
        </w:rPr>
      </w:r>
    </w:p>
    <w:p>
      <w:pPr>
        <w:pStyle w:val="Normal"/>
        <w:ind w:left="737"/>
        <w:rPr>
          <w:sz w:val="24"/>
          <w:szCs w:val="24"/>
        </w:rPr>
      </w:pPr>
      <w:r>
        <w:rPr>
          <w:sz w:val="24"/>
          <w:szCs w:val="24"/>
        </w:rPr>
      </w:r>
    </w:p>
    <w:tbl>
      <w:tblPr>
        <w:tblW w:w="9441" w:type="dxa"/>
        <w:jc w:val="left"/>
        <w:tblInd w:w="52" w:type="dxa"/>
        <w:tblLayout w:type="fixed"/>
        <w:tblCellMar>
          <w:top w:w="55" w:type="dxa"/>
          <w:left w:w="55" w:type="dxa"/>
          <w:bottom w:w="55" w:type="dxa"/>
          <w:right w:w="55" w:type="dxa"/>
        </w:tblCellMar>
      </w:tblPr>
      <w:tblGrid>
        <w:gridCol w:w="4637"/>
        <w:gridCol w:w="4804"/>
      </w:tblGrid>
      <w:tr>
        <w:trPr/>
        <w:tc>
          <w:tcPr>
            <w:tcW w:w="9441" w:type="dxa"/>
            <w:gridSpan w:val="2"/>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spacing w:before="0" w:after="0"/>
              <w:ind w:left="57" w:right="170"/>
              <w:contextualSpacing/>
              <w:jc w:val="both"/>
              <w:rPr>
                <w:sz w:val="24"/>
                <w:szCs w:val="24"/>
              </w:rPr>
            </w:pPr>
            <w:r>
              <w:rPr>
                <w:rFonts w:ascii="Times New Roman" w:hAnsi="Times New Roman"/>
                <w:b/>
                <w:bCs/>
                <w:color w:val="000000"/>
                <w:sz w:val="24"/>
                <w:szCs w:val="24"/>
              </w:rPr>
              <w:t>4. RESPONSÁVEIS PELA CONTRATAÇÃO</w:t>
            </w:r>
          </w:p>
        </w:tc>
      </w:tr>
      <w:tr>
        <w:trPr/>
        <w:tc>
          <w:tcPr>
            <w:tcW w:w="4637" w:type="dxa"/>
            <w:tcBorders>
              <w:left w:val="single" w:sz="4" w:space="0" w:color="000000"/>
              <w:bottom w:val="single" w:sz="4" w:space="0" w:color="000000"/>
            </w:tcBorders>
          </w:tcPr>
          <w:p>
            <w:pPr>
              <w:pStyle w:val="Normal"/>
              <w:widowControl w:val="false"/>
              <w:rPr>
                <w:sz w:val="24"/>
                <w:szCs w:val="24"/>
              </w:rPr>
            </w:pPr>
            <w:r>
              <w:rPr>
                <w:b/>
                <w:bCs/>
                <w:sz w:val="24"/>
                <w:szCs w:val="24"/>
              </w:rPr>
              <w:t>Nome</w:t>
            </w:r>
          </w:p>
        </w:tc>
        <w:tc>
          <w:tcPr>
            <w:tcW w:w="4804" w:type="dxa"/>
            <w:tcBorders>
              <w:left w:val="single" w:sz="4" w:space="0" w:color="000000"/>
              <w:bottom w:val="single" w:sz="4" w:space="0" w:color="000000"/>
              <w:right w:val="single" w:sz="4" w:space="0" w:color="000000"/>
            </w:tcBorders>
          </w:tcPr>
          <w:p>
            <w:pPr>
              <w:pStyle w:val="Normal"/>
              <w:widowControl w:val="false"/>
              <w:ind w:right="57"/>
              <w:rPr>
                <w:sz w:val="24"/>
                <w:szCs w:val="24"/>
              </w:rPr>
            </w:pPr>
            <w:r>
              <w:rPr>
                <w:b/>
                <w:bCs/>
                <w:sz w:val="24"/>
                <w:szCs w:val="24"/>
              </w:rPr>
              <w:t>Cargo/função</w:t>
            </w:r>
          </w:p>
        </w:tc>
      </w:tr>
      <w:tr>
        <w:trPr/>
        <w:tc>
          <w:tcPr>
            <w:tcW w:w="4637" w:type="dxa"/>
            <w:tcBorders>
              <w:left w:val="single" w:sz="4" w:space="0" w:color="000000"/>
              <w:bottom w:val="single" w:sz="4" w:space="0" w:color="000000"/>
            </w:tcBorders>
          </w:tcPr>
          <w:p>
            <w:pPr>
              <w:pStyle w:val="Normal"/>
              <w:widowControl w:val="false"/>
              <w:jc w:val="both"/>
              <w:rPr>
                <w:sz w:val="24"/>
                <w:szCs w:val="24"/>
              </w:rPr>
            </w:pPr>
            <w:r>
              <w:rPr>
                <w:rFonts w:eastAsia="Calibri"/>
                <w:color w:val="000000"/>
                <w:sz w:val="24"/>
                <w:szCs w:val="24"/>
                <w:lang w:eastAsia="en-US"/>
              </w:rPr>
              <w:t>Andrieli Camila Hepp</w:t>
            </w:r>
          </w:p>
        </w:tc>
        <w:tc>
          <w:tcPr>
            <w:tcW w:w="4804"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rFonts w:eastAsia="Calibri"/>
                <w:color w:val="000000"/>
                <w:sz w:val="24"/>
                <w:szCs w:val="24"/>
                <w:lang w:eastAsia="en-US"/>
              </w:rPr>
              <w:t>Assistente Administrativa</w:t>
            </w:r>
          </w:p>
        </w:tc>
      </w:tr>
    </w:tbl>
    <w:p>
      <w:pPr>
        <w:pStyle w:val="Normal"/>
        <w:rPr>
          <w:sz w:val="24"/>
          <w:szCs w:val="24"/>
        </w:rPr>
      </w:pPr>
      <w:r>
        <w:rPr>
          <w:sz w:val="24"/>
          <w:szCs w:val="24"/>
        </w:rPr>
      </w:r>
    </w:p>
    <w:tbl>
      <w:tblPr>
        <w:tblW w:w="9300" w:type="dxa"/>
        <w:jc w:val="left"/>
        <w:tblInd w:w="52" w:type="dxa"/>
        <w:tblLayout w:type="fixed"/>
        <w:tblCellMar>
          <w:top w:w="55" w:type="dxa"/>
          <w:left w:w="55" w:type="dxa"/>
          <w:bottom w:w="55" w:type="dxa"/>
          <w:right w:w="55" w:type="dxa"/>
        </w:tblCellMar>
      </w:tblPr>
      <w:tblGrid>
        <w:gridCol w:w="3100"/>
        <w:gridCol w:w="3100"/>
        <w:gridCol w:w="3100"/>
      </w:tblGrid>
      <w:tr>
        <w:trPr/>
        <w:tc>
          <w:tcPr>
            <w:tcW w:w="9300" w:type="dxa"/>
            <w:gridSpan w:val="3"/>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spacing w:before="0" w:after="0"/>
              <w:ind w:left="57" w:right="57"/>
              <w:contextualSpacing/>
              <w:jc w:val="both"/>
              <w:rPr>
                <w:sz w:val="24"/>
                <w:szCs w:val="24"/>
              </w:rPr>
            </w:pPr>
            <w:r>
              <w:rPr>
                <w:rFonts w:ascii="Times New Roman" w:hAnsi="Times New Roman"/>
                <w:b/>
                <w:bCs/>
                <w:color w:val="000000"/>
                <w:sz w:val="24"/>
                <w:szCs w:val="24"/>
              </w:rPr>
              <w:t>5. ACOMPANHAMENTO DA CONTRATAÇÃO</w:t>
            </w:r>
          </w:p>
        </w:tc>
      </w:tr>
      <w:tr>
        <w:trPr/>
        <w:tc>
          <w:tcPr>
            <w:tcW w:w="3100" w:type="dxa"/>
            <w:tcBorders>
              <w:left w:val="single" w:sz="4" w:space="0" w:color="000000"/>
              <w:bottom w:val="single" w:sz="4" w:space="0" w:color="000000"/>
            </w:tcBorders>
          </w:tcPr>
          <w:p>
            <w:pPr>
              <w:pStyle w:val="Normal"/>
              <w:widowControl w:val="false"/>
              <w:jc w:val="both"/>
              <w:rPr>
                <w:sz w:val="24"/>
                <w:szCs w:val="24"/>
              </w:rPr>
            </w:pPr>
            <w:r>
              <w:rPr>
                <w:rFonts w:eastAsia="Calibri"/>
                <w:b/>
                <w:bCs/>
                <w:color w:val="000000"/>
                <w:sz w:val="24"/>
                <w:szCs w:val="24"/>
                <w:lang w:eastAsia="en-US"/>
              </w:rPr>
              <w:t>Descrição</w:t>
            </w:r>
          </w:p>
        </w:tc>
        <w:tc>
          <w:tcPr>
            <w:tcW w:w="3100" w:type="dxa"/>
            <w:tcBorders>
              <w:left w:val="single" w:sz="4" w:space="0" w:color="000000"/>
              <w:bottom w:val="single" w:sz="4" w:space="0" w:color="000000"/>
            </w:tcBorders>
          </w:tcPr>
          <w:p>
            <w:pPr>
              <w:pStyle w:val="Normal"/>
              <w:widowControl w:val="false"/>
              <w:jc w:val="both"/>
              <w:rPr>
                <w:sz w:val="24"/>
                <w:szCs w:val="24"/>
              </w:rPr>
            </w:pPr>
            <w:r>
              <w:rPr>
                <w:rFonts w:eastAsia="Calibri"/>
                <w:b/>
                <w:bCs/>
                <w:color w:val="000000"/>
                <w:sz w:val="24"/>
                <w:szCs w:val="24"/>
                <w:lang w:eastAsia="en-US"/>
              </w:rPr>
              <w:t>Responsável</w:t>
            </w:r>
          </w:p>
        </w:tc>
        <w:tc>
          <w:tcPr>
            <w:tcW w:w="3100"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rFonts w:eastAsia="Calibri"/>
                <w:b/>
                <w:bCs/>
                <w:color w:val="000000"/>
                <w:sz w:val="24"/>
                <w:szCs w:val="24"/>
                <w:lang w:eastAsia="en-US"/>
              </w:rPr>
              <w:t>Data</w:t>
            </w:r>
          </w:p>
        </w:tc>
      </w:tr>
      <w:tr>
        <w:trPr/>
        <w:tc>
          <w:tcPr>
            <w:tcW w:w="3100" w:type="dxa"/>
            <w:tcBorders>
              <w:left w:val="single" w:sz="4" w:space="0" w:color="000000"/>
              <w:bottom w:val="single" w:sz="4" w:space="0" w:color="000000"/>
            </w:tcBorders>
          </w:tcPr>
          <w:p>
            <w:pPr>
              <w:pStyle w:val="Normal"/>
              <w:widowControl w:val="false"/>
              <w:jc w:val="both"/>
              <w:rPr>
                <w:sz w:val="24"/>
                <w:szCs w:val="24"/>
              </w:rPr>
            </w:pPr>
            <w:r>
              <w:rPr>
                <w:rFonts w:eastAsia="Calibri"/>
                <w:color w:val="000000"/>
                <w:sz w:val="24"/>
                <w:szCs w:val="24"/>
                <w:lang w:eastAsia="en-US"/>
              </w:rPr>
              <w:t>Fiscalização contratual</w:t>
            </w:r>
          </w:p>
        </w:tc>
        <w:tc>
          <w:tcPr>
            <w:tcW w:w="3100" w:type="dxa"/>
            <w:tcBorders>
              <w:left w:val="single" w:sz="4" w:space="0" w:color="000000"/>
              <w:bottom w:val="single" w:sz="4" w:space="0" w:color="000000"/>
            </w:tcBorders>
          </w:tcPr>
          <w:p>
            <w:pPr>
              <w:pStyle w:val="Normal"/>
              <w:widowControl w:val="false"/>
              <w:jc w:val="both"/>
              <w:rPr>
                <w:sz w:val="24"/>
                <w:szCs w:val="24"/>
              </w:rPr>
            </w:pPr>
            <w:r>
              <w:rPr>
                <w:rFonts w:eastAsia="Calibri"/>
                <w:color w:val="000000"/>
                <w:sz w:val="24"/>
                <w:szCs w:val="24"/>
                <w:lang w:eastAsia="en-US"/>
              </w:rPr>
              <w:t>Andrieli Camila Hepp</w:t>
            </w:r>
          </w:p>
          <w:p>
            <w:pPr>
              <w:pStyle w:val="Normal"/>
              <w:widowControl w:val="false"/>
              <w:jc w:val="both"/>
              <w:rPr>
                <w:sz w:val="24"/>
                <w:szCs w:val="24"/>
              </w:rPr>
            </w:pPr>
            <w:r>
              <w:rPr>
                <w:rFonts w:eastAsia="Calibri"/>
                <w:color w:val="000000"/>
                <w:sz w:val="24"/>
                <w:szCs w:val="24"/>
                <w:lang w:eastAsia="en-US"/>
              </w:rPr>
              <w:t>Assistente administrativa</w:t>
            </w:r>
          </w:p>
        </w:tc>
        <w:tc>
          <w:tcPr>
            <w:tcW w:w="3100"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rFonts w:eastAsia="Calibri"/>
                <w:color w:val="000000"/>
                <w:sz w:val="24"/>
                <w:szCs w:val="24"/>
                <w:lang w:eastAsia="en-US"/>
              </w:rPr>
              <w:t>Durante vigência contratual</w:t>
            </w:r>
          </w:p>
        </w:tc>
      </w:tr>
    </w:tbl>
    <w:p>
      <w:pPr>
        <w:pStyle w:val="ListParagraph"/>
        <w:ind w:left="0"/>
        <w:jc w:val="both"/>
        <w:rPr>
          <w:rFonts w:ascii="Times New Roman" w:hAnsi="Times New Roman"/>
          <w:color w:val="000000"/>
          <w:sz w:val="24"/>
          <w:szCs w:val="24"/>
        </w:rPr>
      </w:pPr>
      <w:r>
        <w:rPr>
          <w:rFonts w:ascii="Times New Roman" w:hAnsi="Times New Roman"/>
          <w:color w:val="000000"/>
          <w:sz w:val="24"/>
          <w:szCs w:val="24"/>
        </w:rPr>
      </w:r>
    </w:p>
    <w:tbl>
      <w:tblPr>
        <w:tblW w:w="9300" w:type="dxa"/>
        <w:jc w:val="left"/>
        <w:tblInd w:w="52" w:type="dxa"/>
        <w:tblLayout w:type="fixed"/>
        <w:tblCellMar>
          <w:top w:w="55" w:type="dxa"/>
          <w:left w:w="55" w:type="dxa"/>
          <w:bottom w:w="55" w:type="dxa"/>
          <w:right w:w="55" w:type="dxa"/>
        </w:tblCellMar>
      </w:tblPr>
      <w:tblGrid>
        <w:gridCol w:w="4636"/>
        <w:gridCol w:w="4664"/>
      </w:tblGrid>
      <w:tr>
        <w:trPr/>
        <w:tc>
          <w:tcPr>
            <w:tcW w:w="9300" w:type="dxa"/>
            <w:gridSpan w:val="2"/>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spacing w:before="0" w:after="29"/>
              <w:ind w:left="57" w:right="57"/>
              <w:contextualSpacing/>
              <w:jc w:val="both"/>
              <w:rPr>
                <w:sz w:val="24"/>
                <w:szCs w:val="24"/>
              </w:rPr>
            </w:pPr>
            <w:r>
              <w:rPr>
                <w:rFonts w:ascii="Times New Roman" w:hAnsi="Times New Roman"/>
                <w:b/>
                <w:bCs/>
                <w:color w:val="000000"/>
                <w:sz w:val="24"/>
                <w:szCs w:val="24"/>
              </w:rPr>
              <w:t>6. ASSINATURAS DOS RESPONSÁVEIS</w:t>
            </w:r>
          </w:p>
        </w:tc>
      </w:tr>
      <w:tr>
        <w:trPr/>
        <w:tc>
          <w:tcPr>
            <w:tcW w:w="4636" w:type="dxa"/>
            <w:tcBorders>
              <w:left w:val="single" w:sz="4" w:space="0" w:color="000000"/>
              <w:bottom w:val="single" w:sz="4" w:space="0" w:color="000000"/>
            </w:tcBorders>
          </w:tcPr>
          <w:p>
            <w:pPr>
              <w:pStyle w:val="Normal"/>
              <w:widowControl w:val="false"/>
              <w:jc w:val="center"/>
              <w:rPr>
                <w:sz w:val="24"/>
                <w:szCs w:val="24"/>
              </w:rPr>
            </w:pPr>
            <w:r>
              <w:rPr>
                <w:rFonts w:eastAsia="Calibri"/>
                <w:b/>
                <w:bCs/>
                <w:color w:val="000000"/>
                <w:sz w:val="24"/>
                <w:szCs w:val="24"/>
                <w:lang w:eastAsia="en-US"/>
              </w:rPr>
              <w:t>DFD finalizado em: 2</w:t>
            </w:r>
            <w:r>
              <w:rPr>
                <w:rFonts w:eastAsia="Calibri"/>
                <w:b/>
                <w:bCs/>
                <w:color w:val="000000"/>
                <w:sz w:val="24"/>
                <w:szCs w:val="24"/>
                <w:lang w:eastAsia="en-US"/>
              </w:rPr>
              <w:t>5</w:t>
            </w:r>
            <w:r>
              <w:rPr>
                <w:rFonts w:eastAsia="Calibri"/>
                <w:b/>
                <w:bCs/>
                <w:color w:val="000000"/>
                <w:sz w:val="24"/>
                <w:szCs w:val="24"/>
                <w:lang w:eastAsia="en-US"/>
              </w:rPr>
              <w:t>/03/2026</w:t>
            </w:r>
          </w:p>
        </w:tc>
        <w:tc>
          <w:tcPr>
            <w:tcW w:w="466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b/>
                <w:bCs/>
                <w:sz w:val="24"/>
                <w:szCs w:val="24"/>
              </w:rPr>
              <w:t>De acordo, encaminhe-se p/ análise</w:t>
            </w:r>
          </w:p>
          <w:p>
            <w:pPr>
              <w:pStyle w:val="Normal"/>
              <w:widowControl w:val="false"/>
              <w:jc w:val="center"/>
              <w:rPr>
                <w:sz w:val="24"/>
                <w:szCs w:val="24"/>
              </w:rPr>
            </w:pPr>
            <w:r>
              <w:rPr>
                <w:b/>
                <w:bCs/>
                <w:sz w:val="24"/>
                <w:szCs w:val="24"/>
              </w:rPr>
              <w:t>e providências.</w:t>
            </w:r>
          </w:p>
        </w:tc>
      </w:tr>
      <w:tr>
        <w:trPr>
          <w:trHeight w:val="787" w:hRule="atLeast"/>
        </w:trPr>
        <w:tc>
          <w:tcPr>
            <w:tcW w:w="4636" w:type="dxa"/>
            <w:tcBorders>
              <w:left w:val="single" w:sz="4" w:space="0" w:color="000000"/>
              <w:bottom w:val="single" w:sz="4" w:space="0" w:color="000000"/>
            </w:tcBorders>
          </w:tcPr>
          <w:p>
            <w:pPr>
              <w:pStyle w:val="Normal"/>
              <w:widowControl w:val="false"/>
              <w:jc w:val="center"/>
              <w:rPr>
                <w:rFonts w:eastAsia="Calibri"/>
                <w:b/>
                <w:bCs/>
                <w:color w:val="FF0000"/>
                <w:sz w:val="24"/>
                <w:szCs w:val="24"/>
                <w:lang w:eastAsia="en-US"/>
              </w:rPr>
            </w:pPr>
            <w:r>
              <w:rPr>
                <w:rFonts w:eastAsia="Calibri"/>
                <w:b/>
                <w:bCs/>
                <w:color w:val="FF0000"/>
                <w:sz w:val="24"/>
                <w:szCs w:val="24"/>
                <w:lang w:eastAsia="en-US"/>
              </w:rPr>
            </w:r>
          </w:p>
          <w:p>
            <w:pPr>
              <w:pStyle w:val="Normal"/>
              <w:widowControl w:val="false"/>
              <w:jc w:val="center"/>
              <w:rPr>
                <w:rFonts w:eastAsia="Calibri"/>
                <w:color w:val="000000"/>
                <w:sz w:val="24"/>
                <w:szCs w:val="24"/>
                <w:lang w:eastAsia="en-US"/>
              </w:rPr>
            </w:pPr>
            <w:r>
              <w:rPr>
                <w:rFonts w:eastAsia="Calibri"/>
                <w:color w:val="000000"/>
                <w:sz w:val="24"/>
                <w:szCs w:val="24"/>
                <w:lang w:eastAsia="en-US"/>
              </w:rPr>
            </w:r>
          </w:p>
          <w:p>
            <w:pPr>
              <w:pStyle w:val="Normal"/>
              <w:widowControl w:val="false"/>
              <w:jc w:val="center"/>
              <w:rPr>
                <w:sz w:val="24"/>
                <w:szCs w:val="24"/>
              </w:rPr>
            </w:pPr>
            <w:r>
              <w:rPr>
                <w:rFonts w:eastAsia="Calibri"/>
                <w:color w:val="000000"/>
                <w:sz w:val="24"/>
                <w:szCs w:val="24"/>
                <w:lang w:eastAsia="en-US"/>
              </w:rPr>
              <w:t>Emanuelle C. C. Petrazzini</w:t>
            </w:r>
          </w:p>
          <w:p>
            <w:pPr>
              <w:pStyle w:val="Normal"/>
              <w:widowControl w:val="false"/>
              <w:jc w:val="center"/>
              <w:rPr>
                <w:sz w:val="24"/>
                <w:szCs w:val="24"/>
              </w:rPr>
            </w:pPr>
            <w:r>
              <w:rPr>
                <w:rFonts w:eastAsia="Calibri"/>
                <w:color w:val="000000"/>
                <w:sz w:val="24"/>
                <w:szCs w:val="24"/>
                <w:lang w:eastAsia="en-US"/>
              </w:rPr>
              <w:t>Diretora Geral</w:t>
            </w:r>
          </w:p>
        </w:tc>
        <w:tc>
          <w:tcPr>
            <w:tcW w:w="4664" w:type="dxa"/>
            <w:tcBorders>
              <w:left w:val="single" w:sz="4" w:space="0" w:color="000000"/>
              <w:bottom w:val="single" w:sz="4" w:space="0" w:color="000000"/>
              <w:right w:val="single" w:sz="4" w:space="0" w:color="000000"/>
            </w:tcBorders>
          </w:tcPr>
          <w:p>
            <w:pPr>
              <w:pStyle w:val="Normal"/>
              <w:widowControl w:val="false"/>
              <w:jc w:val="center"/>
              <w:rPr>
                <w:rFonts w:eastAsia="Calibri"/>
                <w:color w:val="000000"/>
                <w:sz w:val="24"/>
                <w:szCs w:val="24"/>
                <w:lang w:eastAsia="en-US"/>
              </w:rPr>
            </w:pPr>
            <w:r>
              <w:rPr>
                <w:rFonts w:eastAsia="Calibri"/>
                <w:color w:val="000000"/>
                <w:sz w:val="24"/>
                <w:szCs w:val="24"/>
                <w:lang w:eastAsia="en-US"/>
              </w:rPr>
            </w:r>
          </w:p>
          <w:p>
            <w:pPr>
              <w:pStyle w:val="Normal"/>
              <w:widowControl w:val="false"/>
              <w:jc w:val="center"/>
              <w:rPr>
                <w:sz w:val="24"/>
                <w:szCs w:val="24"/>
              </w:rPr>
            </w:pPr>
            <w:r>
              <w:rPr>
                <w:sz w:val="24"/>
                <w:szCs w:val="24"/>
              </w:rPr>
            </w:r>
          </w:p>
          <w:p>
            <w:pPr>
              <w:pStyle w:val="Normal"/>
              <w:widowControl w:val="false"/>
              <w:jc w:val="center"/>
              <w:rPr>
                <w:sz w:val="24"/>
                <w:szCs w:val="24"/>
              </w:rPr>
            </w:pPr>
            <w:r>
              <w:rPr>
                <w:rFonts w:eastAsia="Calibri"/>
                <w:color w:val="000000"/>
                <w:sz w:val="24"/>
                <w:szCs w:val="24"/>
                <w:lang w:eastAsia="en-US"/>
              </w:rPr>
              <w:t>Maria Helena Gehler Krummenauer</w:t>
            </w:r>
          </w:p>
          <w:p>
            <w:pPr>
              <w:pStyle w:val="Normal"/>
              <w:widowControl w:val="false"/>
              <w:jc w:val="center"/>
              <w:rPr>
                <w:sz w:val="24"/>
                <w:szCs w:val="24"/>
              </w:rPr>
            </w:pPr>
            <w:r>
              <w:rPr>
                <w:rFonts w:eastAsia="Calibri"/>
                <w:color w:val="000000"/>
                <w:sz w:val="24"/>
                <w:szCs w:val="24"/>
                <w:lang w:eastAsia="en-US"/>
              </w:rPr>
              <w:t>Presidente</w:t>
            </w:r>
          </w:p>
        </w:tc>
      </w:tr>
    </w:tbl>
    <w:p>
      <w:pPr>
        <w:pStyle w:val="ListParagraph"/>
        <w:spacing w:before="0" w:after="200"/>
        <w:ind w:left="0"/>
        <w:contextualSpacing/>
        <w:jc w:val="both"/>
        <w:rPr>
          <w:sz w:val="24"/>
          <w:szCs w:val="24"/>
        </w:rPr>
      </w:pPr>
      <w:r>
        <w:rPr>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egoe UI">
    <w:charset w:val="00"/>
    <w:family w:val="swiss"/>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845"/>
        <w:tab w:val="left" w:pos="5694" w:leader="none"/>
      </w:tabs>
      <w:spacing w:before="101" w:after="0"/>
      <w:jc w:val="center"/>
      <w:rPr>
        <w:b/>
        <w:bCs/>
      </w:rPr>
    </w:pPr>
    <w:r>
      <w:rPr>
        <w:b/>
        <w:bCs/>
        <w:sz w:val="24"/>
        <w:szCs w:val="24"/>
      </w:rPr>
      <w:t>Rua</w:t>
    </w:r>
    <w:r>
      <w:rPr>
        <w:b/>
        <w:bCs/>
        <w:spacing w:val="-21"/>
        <w:sz w:val="24"/>
        <w:szCs w:val="24"/>
      </w:rPr>
      <w:t xml:space="preserve"> </w:t>
    </w:r>
    <w:r>
      <w:rPr>
        <w:b/>
        <w:bCs/>
        <w:sz w:val="24"/>
        <w:szCs w:val="24"/>
      </w:rPr>
      <w:t>Salgado</w:t>
    </w:r>
    <w:r>
      <w:rPr>
        <w:b/>
        <w:bCs/>
        <w:spacing w:val="-21"/>
        <w:sz w:val="24"/>
        <w:szCs w:val="24"/>
      </w:rPr>
      <w:t xml:space="preserve"> </w:t>
    </w:r>
    <w:r>
      <w:rPr>
        <w:b/>
        <w:bCs/>
        <w:sz w:val="24"/>
        <w:szCs w:val="24"/>
      </w:rPr>
      <w:t>Filho,</w:t>
    </w:r>
    <w:r>
      <w:rPr>
        <w:b/>
        <w:bCs/>
        <w:spacing w:val="-21"/>
        <w:sz w:val="24"/>
        <w:szCs w:val="24"/>
      </w:rPr>
      <w:t xml:space="preserve"> </w:t>
    </w:r>
    <w:r>
      <w:rPr>
        <w:b/>
        <w:bCs/>
        <w:sz w:val="24"/>
        <w:szCs w:val="24"/>
      </w:rPr>
      <w:t>79</w:t>
    </w:r>
    <w:r>
      <w:rPr>
        <w:b/>
        <w:bCs/>
        <w:spacing w:val="30"/>
        <w:sz w:val="24"/>
        <w:szCs w:val="24"/>
      </w:rPr>
      <w:t xml:space="preserve"> </w:t>
    </w:r>
    <w:r>
      <w:rPr>
        <w:b/>
        <w:bCs/>
        <w:sz w:val="24"/>
        <w:szCs w:val="24"/>
      </w:rPr>
      <w:t>-</w:t>
    </w:r>
    <w:r>
      <w:rPr>
        <w:b/>
        <w:bCs/>
        <w:spacing w:val="-21"/>
        <w:sz w:val="24"/>
        <w:szCs w:val="24"/>
      </w:rPr>
      <w:t xml:space="preserve"> </w:t>
    </w:r>
    <w:r>
      <w:rPr>
        <w:b/>
        <w:bCs/>
        <w:sz w:val="24"/>
        <w:szCs w:val="24"/>
      </w:rPr>
      <w:t>Três</w:t>
    </w:r>
    <w:r>
      <w:rPr>
        <w:b/>
        <w:bCs/>
        <w:spacing w:val="-20"/>
        <w:sz w:val="24"/>
        <w:szCs w:val="24"/>
      </w:rPr>
      <w:t xml:space="preserve"> </w:t>
    </w:r>
    <w:r>
      <w:rPr>
        <w:b/>
        <w:bCs/>
        <w:sz w:val="24"/>
        <w:szCs w:val="24"/>
      </w:rPr>
      <w:t>Passos/RS-</w:t>
    </w:r>
    <w:r>
      <w:rPr>
        <w:b/>
        <w:bCs/>
        <w:spacing w:val="30"/>
        <w:sz w:val="24"/>
        <w:szCs w:val="24"/>
      </w:rPr>
      <w:t xml:space="preserve"> </w:t>
    </w:r>
    <w:r>
      <w:rPr>
        <w:b/>
        <w:bCs/>
        <w:sz w:val="24"/>
        <w:szCs w:val="24"/>
      </w:rPr>
      <w:t>CEP:</w:t>
    </w:r>
    <w:r>
      <w:rPr>
        <w:b/>
        <w:bCs/>
        <w:spacing w:val="-21"/>
        <w:sz w:val="24"/>
        <w:szCs w:val="24"/>
      </w:rPr>
      <w:t xml:space="preserve"> </w:t>
    </w:r>
    <w:r>
      <w:rPr>
        <w:b/>
        <w:bCs/>
        <w:sz w:val="24"/>
        <w:szCs w:val="24"/>
      </w:rPr>
      <w:t>98600-000</w:t>
    </w:r>
    <w:r>
      <w:rPr>
        <w:b/>
        <w:bCs/>
        <w:spacing w:val="31"/>
        <w:sz w:val="24"/>
        <w:szCs w:val="24"/>
      </w:rPr>
      <w:t xml:space="preserve"> </w:t>
    </w:r>
    <w:r>
      <w:rPr>
        <w:b/>
        <w:bCs/>
        <w:sz w:val="24"/>
        <w:szCs w:val="24"/>
      </w:rPr>
      <w:t>Fone:</w:t>
    </w:r>
    <w:r>
      <w:rPr>
        <w:b/>
        <w:bCs/>
        <w:spacing w:val="-21"/>
        <w:sz w:val="24"/>
        <w:szCs w:val="24"/>
      </w:rPr>
      <w:t xml:space="preserve"> </w:t>
    </w:r>
    <w:r>
      <w:rPr>
        <w:b/>
        <w:bCs/>
        <w:sz w:val="24"/>
        <w:szCs w:val="24"/>
      </w:rPr>
      <w:t>(55)</w:t>
    </w:r>
    <w:r>
      <w:rPr>
        <w:b/>
        <w:bCs/>
        <w:spacing w:val="-21"/>
        <w:sz w:val="24"/>
        <w:szCs w:val="24"/>
      </w:rPr>
      <w:t xml:space="preserve"> </w:t>
    </w:r>
    <w:r>
      <w:rPr>
        <w:b/>
        <w:bCs/>
        <w:sz w:val="24"/>
        <w:szCs w:val="24"/>
      </w:rPr>
      <w:t>3522</w:t>
    </w:r>
    <w:r>
      <w:rPr>
        <w:b/>
        <w:bCs/>
        <w:spacing w:val="-21"/>
        <w:sz w:val="24"/>
        <w:szCs w:val="24"/>
      </w:rPr>
      <w:t>-</w:t>
    </w:r>
    <w:r>
      <w:rPr>
        <w:b/>
        <w:bCs/>
        <w:sz w:val="24"/>
        <w:szCs w:val="24"/>
      </w:rPr>
      <w:t xml:space="preserve">1210 </w:t>
    </w:r>
  </w:p>
  <w:p>
    <w:pPr>
      <w:pStyle w:val="BodyText"/>
      <w:tabs>
        <w:tab w:val="clear" w:pos="845"/>
        <w:tab w:val="left" w:pos="5694" w:leader="none"/>
      </w:tabs>
      <w:spacing w:before="0" w:after="0"/>
      <w:jc w:val="center"/>
      <w:rPr/>
    </w:pPr>
    <w:r>
      <w:rPr>
        <w:b/>
        <w:bCs/>
        <w:w w:val="95"/>
        <w:sz w:val="24"/>
        <w:szCs w:val="24"/>
      </w:rPr>
      <w:t>E-mail:</w:t>
    </w:r>
    <w:r>
      <w:rPr>
        <w:b/>
        <w:bCs/>
        <w:spacing w:val="3"/>
        <w:w w:val="95"/>
        <w:sz w:val="24"/>
        <w:szCs w:val="24"/>
      </w:rPr>
      <w:t xml:space="preserve"> </w:t>
    </w:r>
    <w:hyperlink r:id="rId1">
      <w:r>
        <w:rPr>
          <w:rStyle w:val="Hyperlink"/>
          <w:b/>
          <w:bCs/>
          <w:color w:val="auto"/>
          <w:w w:val="95"/>
          <w:sz w:val="24"/>
          <w:szCs w:val="24"/>
          <w:u w:val="none"/>
        </w:rPr>
        <w:t>camara@trespassos.rs.leg.br</w:t>
      </w:r>
      <w:r>
        <w:rPr>
          <w:rStyle w:val="Hyperlink"/>
          <w:b/>
          <w:bCs/>
          <w:color w:val="auto"/>
          <w:spacing w:val="4"/>
          <w:w w:val="95"/>
          <w:sz w:val="24"/>
          <w:szCs w:val="24"/>
          <w:u w:val="none"/>
        </w:rPr>
        <w:t xml:space="preserve"> </w:t>
      </w:r>
    </w:hyperlink>
    <w:r>
      <w:rPr>
        <w:b/>
        <w:bCs/>
        <w:w w:val="95"/>
        <w:sz w:val="24"/>
        <w:szCs w:val="24"/>
      </w:rPr>
      <w:t>-</w:t>
    </w:r>
    <w:r>
      <w:rPr>
        <w:b/>
        <w:bCs/>
        <w:sz w:val="24"/>
        <w:szCs w:val="24"/>
      </w:rPr>
      <w:t>Site:</w:t>
    </w:r>
    <w:r>
      <w:rPr>
        <w:b/>
        <w:bCs/>
        <w:spacing w:val="-22"/>
        <w:sz w:val="24"/>
        <w:szCs w:val="24"/>
      </w:rPr>
      <w:t xml:space="preserve"> </w:t>
    </w:r>
    <w:hyperlink r:id="rId2">
      <w:r>
        <w:rPr>
          <w:rStyle w:val="Hyperlink"/>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845"/>
        <w:tab w:val="left" w:pos="5694" w:leader="none"/>
      </w:tabs>
      <w:spacing w:before="101" w:after="0"/>
      <w:jc w:val="center"/>
      <w:rPr>
        <w:b/>
        <w:bCs/>
      </w:rPr>
    </w:pPr>
    <w:r>
      <w:rPr>
        <w:b/>
        <w:bCs/>
        <w:sz w:val="24"/>
        <w:szCs w:val="24"/>
      </w:rPr>
      <w:t>Rua</w:t>
    </w:r>
    <w:r>
      <w:rPr>
        <w:b/>
        <w:bCs/>
        <w:spacing w:val="-21"/>
        <w:sz w:val="24"/>
        <w:szCs w:val="24"/>
      </w:rPr>
      <w:t xml:space="preserve"> </w:t>
    </w:r>
    <w:r>
      <w:rPr>
        <w:b/>
        <w:bCs/>
        <w:sz w:val="24"/>
        <w:szCs w:val="24"/>
      </w:rPr>
      <w:t>Salgado</w:t>
    </w:r>
    <w:r>
      <w:rPr>
        <w:b/>
        <w:bCs/>
        <w:spacing w:val="-21"/>
        <w:sz w:val="24"/>
        <w:szCs w:val="24"/>
      </w:rPr>
      <w:t xml:space="preserve"> </w:t>
    </w:r>
    <w:r>
      <w:rPr>
        <w:b/>
        <w:bCs/>
        <w:sz w:val="24"/>
        <w:szCs w:val="24"/>
      </w:rPr>
      <w:t>Filho,</w:t>
    </w:r>
    <w:r>
      <w:rPr>
        <w:b/>
        <w:bCs/>
        <w:spacing w:val="-21"/>
        <w:sz w:val="24"/>
        <w:szCs w:val="24"/>
      </w:rPr>
      <w:t xml:space="preserve"> </w:t>
    </w:r>
    <w:r>
      <w:rPr>
        <w:b/>
        <w:bCs/>
        <w:sz w:val="24"/>
        <w:szCs w:val="24"/>
      </w:rPr>
      <w:t>79</w:t>
    </w:r>
    <w:r>
      <w:rPr>
        <w:b/>
        <w:bCs/>
        <w:spacing w:val="30"/>
        <w:sz w:val="24"/>
        <w:szCs w:val="24"/>
      </w:rPr>
      <w:t xml:space="preserve"> </w:t>
    </w:r>
    <w:r>
      <w:rPr>
        <w:b/>
        <w:bCs/>
        <w:sz w:val="24"/>
        <w:szCs w:val="24"/>
      </w:rPr>
      <w:t>-</w:t>
    </w:r>
    <w:r>
      <w:rPr>
        <w:b/>
        <w:bCs/>
        <w:spacing w:val="-21"/>
        <w:sz w:val="24"/>
        <w:szCs w:val="24"/>
      </w:rPr>
      <w:t xml:space="preserve"> </w:t>
    </w:r>
    <w:r>
      <w:rPr>
        <w:b/>
        <w:bCs/>
        <w:sz w:val="24"/>
        <w:szCs w:val="24"/>
      </w:rPr>
      <w:t>Três</w:t>
    </w:r>
    <w:r>
      <w:rPr>
        <w:b/>
        <w:bCs/>
        <w:spacing w:val="-20"/>
        <w:sz w:val="24"/>
        <w:szCs w:val="24"/>
      </w:rPr>
      <w:t xml:space="preserve"> </w:t>
    </w:r>
    <w:r>
      <w:rPr>
        <w:b/>
        <w:bCs/>
        <w:sz w:val="24"/>
        <w:szCs w:val="24"/>
      </w:rPr>
      <w:t>Passos/RS-</w:t>
    </w:r>
    <w:r>
      <w:rPr>
        <w:b/>
        <w:bCs/>
        <w:spacing w:val="30"/>
        <w:sz w:val="24"/>
        <w:szCs w:val="24"/>
      </w:rPr>
      <w:t xml:space="preserve"> </w:t>
    </w:r>
    <w:r>
      <w:rPr>
        <w:b/>
        <w:bCs/>
        <w:sz w:val="24"/>
        <w:szCs w:val="24"/>
      </w:rPr>
      <w:t>CEP:</w:t>
    </w:r>
    <w:r>
      <w:rPr>
        <w:b/>
        <w:bCs/>
        <w:spacing w:val="-21"/>
        <w:sz w:val="24"/>
        <w:szCs w:val="24"/>
      </w:rPr>
      <w:t xml:space="preserve"> </w:t>
    </w:r>
    <w:r>
      <w:rPr>
        <w:b/>
        <w:bCs/>
        <w:sz w:val="24"/>
        <w:szCs w:val="24"/>
      </w:rPr>
      <w:t>98600-000</w:t>
    </w:r>
    <w:r>
      <w:rPr>
        <w:b/>
        <w:bCs/>
        <w:spacing w:val="31"/>
        <w:sz w:val="24"/>
        <w:szCs w:val="24"/>
      </w:rPr>
      <w:t xml:space="preserve"> </w:t>
    </w:r>
    <w:r>
      <w:rPr>
        <w:b/>
        <w:bCs/>
        <w:sz w:val="24"/>
        <w:szCs w:val="24"/>
      </w:rPr>
      <w:t>Fone:</w:t>
    </w:r>
    <w:r>
      <w:rPr>
        <w:b/>
        <w:bCs/>
        <w:spacing w:val="-21"/>
        <w:sz w:val="24"/>
        <w:szCs w:val="24"/>
      </w:rPr>
      <w:t xml:space="preserve"> </w:t>
    </w:r>
    <w:r>
      <w:rPr>
        <w:b/>
        <w:bCs/>
        <w:sz w:val="24"/>
        <w:szCs w:val="24"/>
      </w:rPr>
      <w:t>(55)</w:t>
    </w:r>
    <w:r>
      <w:rPr>
        <w:b/>
        <w:bCs/>
        <w:spacing w:val="-21"/>
        <w:sz w:val="24"/>
        <w:szCs w:val="24"/>
      </w:rPr>
      <w:t xml:space="preserve"> </w:t>
    </w:r>
    <w:r>
      <w:rPr>
        <w:b/>
        <w:bCs/>
        <w:sz w:val="24"/>
        <w:szCs w:val="24"/>
      </w:rPr>
      <w:t>3522</w:t>
    </w:r>
    <w:r>
      <w:rPr>
        <w:b/>
        <w:bCs/>
        <w:spacing w:val="-21"/>
        <w:sz w:val="24"/>
        <w:szCs w:val="24"/>
      </w:rPr>
      <w:t>-</w:t>
    </w:r>
    <w:r>
      <w:rPr>
        <w:b/>
        <w:bCs/>
        <w:sz w:val="24"/>
        <w:szCs w:val="24"/>
      </w:rPr>
      <w:t xml:space="preserve">1210 </w:t>
    </w:r>
  </w:p>
  <w:p>
    <w:pPr>
      <w:pStyle w:val="BodyText"/>
      <w:tabs>
        <w:tab w:val="clear" w:pos="845"/>
        <w:tab w:val="left" w:pos="5694" w:leader="none"/>
      </w:tabs>
      <w:spacing w:before="0" w:after="0"/>
      <w:jc w:val="center"/>
      <w:rPr/>
    </w:pPr>
    <w:r>
      <w:rPr>
        <w:b/>
        <w:bCs/>
        <w:w w:val="95"/>
        <w:sz w:val="24"/>
        <w:szCs w:val="24"/>
      </w:rPr>
      <w:t>E-mail:</w:t>
    </w:r>
    <w:r>
      <w:rPr>
        <w:b/>
        <w:bCs/>
        <w:spacing w:val="3"/>
        <w:w w:val="95"/>
        <w:sz w:val="24"/>
        <w:szCs w:val="24"/>
      </w:rPr>
      <w:t xml:space="preserve"> </w:t>
    </w:r>
    <w:hyperlink r:id="rId1">
      <w:r>
        <w:rPr>
          <w:rStyle w:val="Hyperlink"/>
          <w:b/>
          <w:bCs/>
          <w:color w:val="auto"/>
          <w:w w:val="95"/>
          <w:sz w:val="24"/>
          <w:szCs w:val="24"/>
          <w:u w:val="none"/>
        </w:rPr>
        <w:t>camara@trespassos.rs.leg.br</w:t>
      </w:r>
      <w:r>
        <w:rPr>
          <w:rStyle w:val="Hyperlink"/>
          <w:b/>
          <w:bCs/>
          <w:color w:val="auto"/>
          <w:spacing w:val="4"/>
          <w:w w:val="95"/>
          <w:sz w:val="24"/>
          <w:szCs w:val="24"/>
          <w:u w:val="none"/>
        </w:rPr>
        <w:t xml:space="preserve"> </w:t>
      </w:r>
    </w:hyperlink>
    <w:r>
      <w:rPr>
        <w:b/>
        <w:bCs/>
        <w:w w:val="95"/>
        <w:sz w:val="24"/>
        <w:szCs w:val="24"/>
      </w:rPr>
      <w:t>-</w:t>
    </w:r>
    <w:r>
      <w:rPr>
        <w:b/>
        <w:bCs/>
        <w:sz w:val="24"/>
        <w:szCs w:val="24"/>
      </w:rPr>
      <w:t>Site:</w:t>
    </w:r>
    <w:r>
      <w:rPr>
        <w:b/>
        <w:bCs/>
        <w:spacing w:val="-22"/>
        <w:sz w:val="24"/>
        <w:szCs w:val="24"/>
      </w:rPr>
      <w:t xml:space="preserve"> </w:t>
    </w:r>
    <w:hyperlink r:id="rId2">
      <w:r>
        <w:rPr>
          <w:rStyle w:val="Hyperlink"/>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spacing w:lineRule="auto" w:line="228" w:before="100" w:after="0"/>
      <w:ind w:left="2665" w:right="510"/>
      <w:jc w:val="center"/>
      <w:rPr/>
    </w:pPr>
    <w:r>
      <w:drawing>
        <wp:anchor distT="0" distB="0" distL="0" distR="0" simplePos="0" relativeHeight="5"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100" w:after="0"/>
      <w:ind w:left="3175" w:right="907"/>
      <w:jc w:val="center"/>
      <w:rPr/>
    </w:pPr>
    <w:r>
      <w:rPr/>
      <w:t xml:space="preserve">Estado do Rio Grande do Sul </w:t>
    </w:r>
  </w:p>
  <w:p>
    <w:pPr>
      <w:pStyle w:val="Normal"/>
      <w:spacing w:lineRule="auto" w:line="228" w:before="100" w:after="0"/>
      <w:ind w:left="3175" w:right="907"/>
      <w:jc w:val="center"/>
      <w:rPr/>
    </w:pPr>
    <w:r>
      <w:rPr>
        <w:w w:val="95"/>
      </w:rPr>
      <w:t>Poder</w:t>
    </w:r>
    <w:r>
      <w:rPr>
        <w:spacing w:val="-48"/>
        <w:w w:val="95"/>
      </w:rPr>
      <w:t xml:space="preserve"> </w:t>
    </w:r>
    <w:r>
      <w:rPr>
        <w:w w:val="95"/>
      </w:rPr>
      <w:t>Legislativo</w:t>
    </w:r>
    <w:r>
      <w:rPr>
        <w:spacing w:val="-48"/>
        <w:w w:val="95"/>
      </w:rPr>
      <w:t xml:space="preserve"> </w:t>
    </w:r>
    <w:r>
      <w:rPr>
        <w:w w:val="95"/>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spacing w:lineRule="auto" w:line="228" w:before="100" w:after="0"/>
      <w:ind w:left="2665" w:right="510"/>
      <w:jc w:val="center"/>
      <w:rPr/>
    </w:pPr>
    <w:r>
      <w:drawing>
        <wp:anchor distT="0" distB="0" distL="0" distR="0" simplePos="0" relativeHeight="5"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100" w:after="0"/>
      <w:ind w:left="3175" w:right="907"/>
      <w:jc w:val="center"/>
      <w:rPr/>
    </w:pPr>
    <w:r>
      <w:rPr/>
      <w:t xml:space="preserve">Estado do Rio Grande do Sul </w:t>
    </w:r>
  </w:p>
  <w:p>
    <w:pPr>
      <w:pStyle w:val="Normal"/>
      <w:spacing w:lineRule="auto" w:line="228" w:before="100" w:after="0"/>
      <w:ind w:left="3175" w:right="907"/>
      <w:jc w:val="center"/>
      <w:rPr/>
    </w:pPr>
    <w:r>
      <w:rPr>
        <w:w w:val="95"/>
      </w:rPr>
      <w:t>Poder</w:t>
    </w:r>
    <w:r>
      <w:rPr>
        <w:spacing w:val="-48"/>
        <w:w w:val="95"/>
      </w:rPr>
      <w:t xml:space="preserve"> </w:t>
    </w:r>
    <w:r>
      <w:rPr>
        <w:w w:val="95"/>
      </w:rPr>
      <w:t>Legislativo</w:t>
    </w:r>
    <w:r>
      <w:rPr>
        <w:spacing w:val="-48"/>
        <w:w w:val="95"/>
      </w:rPr>
      <w:t xml:space="preserve"> </w:t>
    </w:r>
    <w:r>
      <w:rPr>
        <w:w w:val="95"/>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180"/>
      </w:pPr>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600"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embedSystemFonts/>
  <w:defaultTabStop w:val="720"/>
  <w:autoHyphenation w:val="true"/>
  <w:hyphenationZone w:val="360"/>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numPr>
        <w:ilvl w:val="0"/>
        <w:numId w:val="0"/>
      </w:numPr>
      <w:ind w:left="-180"/>
      <w:outlineLvl w:val="0"/>
    </w:pPr>
    <w:rPr>
      <w:sz w:val="28"/>
    </w:rPr>
  </w:style>
  <w:style w:type="paragraph" w:styleId="Heading2">
    <w:name w:val="heading 2"/>
    <w:basedOn w:val="Normal"/>
    <w:next w:val="Normal"/>
    <w:qFormat/>
    <w:pPr>
      <w:keepNext w:val="true"/>
      <w:numPr>
        <w:ilvl w:val="0"/>
        <w:numId w:val="0"/>
      </w:numPr>
      <w:ind w:left="-180"/>
      <w:jc w:val="center"/>
      <w:outlineLvl w:val="1"/>
    </w:pPr>
    <w:rPr>
      <w:sz w:val="28"/>
    </w:rPr>
  </w:style>
  <w:style w:type="paragraph" w:styleId="Heading3">
    <w:name w:val="heading 3"/>
    <w:basedOn w:val="Normal"/>
    <w:next w:val="Normal"/>
    <w:qFormat/>
    <w:pPr>
      <w:keepNext w:val="true"/>
      <w:numPr>
        <w:ilvl w:val="0"/>
        <w:numId w:val="0"/>
      </w:numPr>
      <w:spacing w:lineRule="auto" w:line="360"/>
      <w:jc w:val="both"/>
      <w:outlineLvl w:val="2"/>
    </w:pPr>
    <w:rPr>
      <w:rFonts w:ascii="Arial" w:hAnsi="Arial" w:cs="Arial"/>
      <w:u w:val="single"/>
    </w:rPr>
  </w:style>
  <w:style w:type="paragraph" w:styleId="Heading4">
    <w:name w:val="heading 4"/>
    <w:basedOn w:val="Normal"/>
    <w:next w:val="Normal"/>
    <w:qFormat/>
    <w:pPr>
      <w:keepNext w:val="true"/>
      <w:numPr>
        <w:ilvl w:val="0"/>
        <w:numId w:val="0"/>
      </w:numPr>
      <w:spacing w:lineRule="auto" w:line="360"/>
      <w:ind w:left="-180"/>
      <w:jc w:val="both"/>
      <w:outlineLvl w:val="3"/>
    </w:pPr>
    <w:rPr>
      <w:rFonts w:ascii="Arial" w:hAnsi="Arial" w:cs="Arial"/>
      <w:u w:val="single"/>
    </w:rPr>
  </w:style>
  <w:style w:type="paragraph" w:styleId="Heading5">
    <w:name w:val="heading 5"/>
    <w:basedOn w:val="Normal"/>
    <w:next w:val="Normal"/>
    <w:qFormat/>
    <w:pPr>
      <w:keepNext w:val="true"/>
      <w:numPr>
        <w:ilvl w:val="0"/>
        <w:numId w:val="0"/>
      </w:numPr>
      <w:jc w:val="both"/>
      <w:outlineLvl w:val="4"/>
    </w:pPr>
    <w:rPr>
      <w:rFonts w:ascii="Arial" w:hAnsi="Arial" w:cs="Arial"/>
      <w:b/>
      <w:bCs/>
    </w:rPr>
  </w:style>
  <w:style w:type="paragraph" w:styleId="Heading6">
    <w:name w:val="heading 6"/>
    <w:basedOn w:val="Normal"/>
    <w:next w:val="Normal"/>
    <w:qFormat/>
    <w:pPr>
      <w:numPr>
        <w:ilvl w:val="5"/>
        <w:numId w:val="1"/>
      </w:numPr>
      <w:spacing w:before="240" w:after="60"/>
      <w:outlineLvl w:val="5"/>
    </w:pPr>
    <w:rPr>
      <w:rFonts w:ascii="Calibri" w:hAnsi="Calibri" w:cs="Calibri"/>
      <w:b/>
      <w:bCs/>
    </w:rPr>
  </w:style>
  <w:style w:type="paragraph" w:styleId="Heading7">
    <w:name w:val="heading 7"/>
    <w:basedOn w:val="Normal"/>
    <w:next w:val="Normal"/>
    <w:qFormat/>
    <w:pPr>
      <w:keepNext w:val="true"/>
      <w:numPr>
        <w:ilvl w:val="0"/>
        <w:numId w:val="0"/>
      </w:numPr>
      <w:jc w:val="both"/>
      <w:outlineLvl w:val="6"/>
    </w:pPr>
    <w:rPr>
      <w:u w:val="single"/>
    </w:rPr>
  </w:style>
  <w:style w:type="paragraph" w:styleId="Heading8">
    <w:name w:val="heading 8"/>
    <w:basedOn w:val="Normal"/>
    <w:next w:val="Normal"/>
    <w:qFormat/>
    <w:pPr>
      <w:keepNext w:val="true"/>
      <w:numPr>
        <w:ilvl w:val="0"/>
        <w:numId w:val="0"/>
      </w:numPr>
      <w:outlineLvl w:val="7"/>
    </w:pPr>
    <w:rPr>
      <w:u w:val="single"/>
    </w:rPr>
  </w:style>
  <w:style w:type="paragraph" w:styleId="Heading9">
    <w:name w:val="heading 9"/>
    <w:basedOn w:val="Normal"/>
    <w:next w:val="Normal"/>
    <w:qFormat/>
    <w:pPr>
      <w:keepNext w:val="true"/>
      <w:numPr>
        <w:ilvl w:val="0"/>
        <w:numId w:val="0"/>
      </w:numPr>
      <w:outlineLvl w:val="8"/>
    </w:pPr>
    <w:rPr>
      <w:b/>
      <w:i/>
    </w:rPr>
  </w:style>
  <w:style w:type="character" w:styleId="DefaultParagraphFont">
    <w:name w:val="Default Paragraph Font"/>
    <w:qFormat/>
    <w:rPr/>
  </w:style>
  <w:style w:type="character" w:styleId="InternetLink">
    <w:name w:val="Internet Link"/>
    <w:qFormat/>
    <w:rPr>
      <w:color w:val="0000FF"/>
      <w:u w:val="single"/>
    </w:rPr>
  </w:style>
  <w:style w:type="character" w:styleId="Strong">
    <w:name w:val="Strong"/>
    <w:qFormat/>
    <w:rPr>
      <w:b/>
      <w:bCs/>
    </w:rPr>
  </w:style>
  <w:style w:type="character" w:styleId="titulo031">
    <w:name w:val="titulo031"/>
    <w:qFormat/>
    <w:rPr>
      <w:rFonts w:ascii="Arial" w:hAnsi="Arial" w:cs="Arial"/>
      <w:b/>
      <w:bCs/>
      <w:color w:val="CC6633"/>
      <w:sz w:val="18"/>
      <w:szCs w:val="18"/>
    </w:rPr>
  </w:style>
  <w:style w:type="character" w:styleId="RecuodecorpodetextoChar">
    <w:name w:val="Recuo de corpo de texto Char"/>
    <w:link w:val="BodyTextIndented"/>
    <w:qFormat/>
    <w:rPr>
      <w:sz w:val="28"/>
      <w:szCs w:val="24"/>
    </w:rPr>
  </w:style>
  <w:style w:type="character" w:styleId="Recuodecorpodetexto3Char">
    <w:name w:val="Recuo de corpo de texto 3 Char"/>
    <w:link w:val="BodyTextIndent3"/>
    <w:qFormat/>
    <w:rPr>
      <w:sz w:val="28"/>
      <w:szCs w:val="24"/>
    </w:rPr>
  </w:style>
  <w:style w:type="character" w:styleId="Recuodecorpodetexto2Char">
    <w:name w:val="Recuo de corpo de texto 2 Char"/>
    <w:link w:val="BodyTextIndent2"/>
    <w:qFormat/>
    <w:rPr>
      <w:rFonts w:ascii="Arial" w:hAnsi="Arial" w:cs="Arial"/>
      <w:sz w:val="24"/>
      <w:szCs w:val="24"/>
    </w:rPr>
  </w:style>
  <w:style w:type="character" w:styleId="CorpodetextoChar">
    <w:name w:val="Corpo de texto Char"/>
    <w:qFormat/>
    <w:rPr>
      <w:rFonts w:ascii="Arial" w:hAnsi="Arial" w:cs="Arial"/>
      <w:sz w:val="24"/>
      <w:szCs w:val="24"/>
    </w:rPr>
  </w:style>
  <w:style w:type="character" w:styleId="TextodebaloChar">
    <w:name w:val="Texto de balão Char"/>
    <w:link w:val="BalloonText"/>
    <w:qFormat/>
    <w:rPr>
      <w:rFonts w:ascii="Segoe UI" w:hAnsi="Segoe UI" w:cs="Segoe UI"/>
      <w:sz w:val="18"/>
      <w:szCs w:val="18"/>
    </w:rPr>
  </w:style>
  <w:style w:type="character" w:styleId="apple-converted-space">
    <w:name w:val="apple-converted-space"/>
    <w:qFormat/>
    <w:rPr/>
  </w:style>
  <w:style w:type="character" w:styleId="highlight">
    <w:name w:val="highlight"/>
    <w:qFormat/>
    <w:rPr/>
  </w:style>
  <w:style w:type="character" w:styleId="badge">
    <w:name w:val="badge"/>
    <w:qFormat/>
    <w:rPr/>
  </w:style>
  <w:style w:type="character" w:styleId="CabealhoChar">
    <w:name w:val="Cabeçalho Char"/>
    <w:basedOn w:val="DefaultParagraphFont"/>
    <w:qFormat/>
    <w:rPr>
      <w:sz w:val="24"/>
      <w:szCs w:val="24"/>
    </w:rPr>
  </w:style>
  <w:style w:type="character" w:styleId="RodapChar">
    <w:name w:val="Rodapé Char"/>
    <w:basedOn w:val="DefaultParagraphFont"/>
    <w:qFormat/>
    <w:rPr>
      <w:sz w:val="24"/>
      <w:szCs w:val="24"/>
    </w:rPr>
  </w:style>
  <w:style w:type="character" w:styleId="TextodenotadefimChar">
    <w:name w:val="Texto de nota de fim Char"/>
    <w:basedOn w:val="DefaultParagraphFont"/>
    <w:qFormat/>
    <w:rPr>
      <w:rFonts w:ascii="Calibri" w:hAnsi="Calibri" w:eastAsia="Calibri"/>
      <w:lang w:eastAsia="en-US"/>
    </w:rPr>
  </w:style>
  <w:style w:type="character" w:styleId="TextodenotadefimChar1">
    <w:name w:val="Texto de nota de fim Char1"/>
    <w:basedOn w:val="DefaultParagraphFont"/>
    <w:qFormat/>
    <w:rPr/>
  </w:style>
  <w:style w:type="character" w:styleId="Fontepargpadro1">
    <w:name w:val="Fonte parág. padrão1"/>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2z2">
    <w:name w:val="WW8Num22z2"/>
    <w:qFormat/>
    <w:rPr/>
  </w:style>
  <w:style w:type="character" w:styleId="WW8Num22z1">
    <w:name w:val="WW8Num22z1"/>
    <w:qFormat/>
    <w:rPr/>
  </w:style>
  <w:style w:type="character" w:styleId="WW8Num22z0">
    <w:name w:val="WW8Num22z0"/>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1z1">
    <w:name w:val="WW8Num21z1"/>
    <w:qFormat/>
    <w:rPr/>
  </w:style>
  <w:style w:type="character" w:styleId="WW8Num21z0">
    <w:name w:val="WW8Num21z0"/>
    <w:qFormat/>
    <w:rPr/>
  </w:style>
  <w:style w:type="character" w:styleId="WW8Num20z3">
    <w:name w:val="WW8Num20z3"/>
    <w:qFormat/>
    <w:rPr>
      <w:rFonts w:ascii="Symbol" w:hAnsi="Symbol" w:cs="Symbol"/>
    </w:rPr>
  </w:style>
  <w:style w:type="character" w:styleId="WW8Num20z2">
    <w:name w:val="WW8Num20z2"/>
    <w:qFormat/>
    <w:rPr>
      <w:rFonts w:ascii="Wingdings" w:hAnsi="Wingdings" w:cs="Wingdings"/>
    </w:rPr>
  </w:style>
  <w:style w:type="character" w:styleId="WW8Num20z1">
    <w:name w:val="WW8Num20z1"/>
    <w:qFormat/>
    <w:rPr>
      <w:rFonts w:ascii="Courier New" w:hAnsi="Courier New" w:cs="Courier New"/>
    </w:rPr>
  </w:style>
  <w:style w:type="character" w:styleId="WW8Num20z0">
    <w:name w:val="WW8Num20z0"/>
    <w:qFormat/>
    <w:rPr>
      <w:rFonts w:ascii="Times New Roman" w:hAnsi="Times New Roman" w:eastAsia="Times New Roman" w:cs="Times New Roman"/>
    </w:rPr>
  </w:style>
  <w:style w:type="character" w:styleId="WW8Num19z3">
    <w:name w:val="WW8Num19z3"/>
    <w:qFormat/>
    <w:rPr>
      <w:rFonts w:ascii="Symbol" w:hAnsi="Symbol" w:cs="Symbol"/>
    </w:rPr>
  </w:style>
  <w:style w:type="character" w:styleId="WW8Num19z2">
    <w:name w:val="WW8Num19z2"/>
    <w:qFormat/>
    <w:rPr>
      <w:rFonts w:ascii="Wingdings" w:hAnsi="Wingdings" w:cs="Wingdings"/>
    </w:rPr>
  </w:style>
  <w:style w:type="character" w:styleId="WW8Num19z1">
    <w:name w:val="WW8Num19z1"/>
    <w:qFormat/>
    <w:rPr>
      <w:rFonts w:ascii="Courier New" w:hAnsi="Courier New" w:cs="Courier New"/>
    </w:rPr>
  </w:style>
  <w:style w:type="character" w:styleId="WW8Num19z0">
    <w:name w:val="WW8Num19z0"/>
    <w:qFormat/>
    <w:rPr>
      <w:rFonts w:ascii="Times New Roman" w:hAnsi="Times New Roman" w:eastAsia="Times New Roman" w:cs="Times New Roman"/>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18z2">
    <w:name w:val="WW8Num18z2"/>
    <w:qFormat/>
    <w:rPr/>
  </w:style>
  <w:style w:type="character" w:styleId="WW8Num18z1">
    <w:name w:val="WW8Num18z1"/>
    <w:qFormat/>
    <w:rPr/>
  </w:style>
  <w:style w:type="character" w:styleId="WW8Num18z0">
    <w:name w:val="WW8Num18z0"/>
    <w:qFormat/>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7z0">
    <w:name w:val="WW8Num17z0"/>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style>
  <w:style w:type="character" w:styleId="WW8Num16z0">
    <w:name w:val="WW8Num16z0"/>
    <w:qFormat/>
    <w:rPr/>
  </w:style>
  <w:style w:type="character" w:styleId="WW8Num15z3">
    <w:name w:val="WW8Num15z3"/>
    <w:qFormat/>
    <w:rPr>
      <w:rFonts w:ascii="Symbol" w:hAnsi="Symbol" w:cs="Symbol"/>
    </w:rPr>
  </w:style>
  <w:style w:type="character" w:styleId="WW8Num15z2">
    <w:name w:val="WW8Num15z2"/>
    <w:qFormat/>
    <w:rPr>
      <w:rFonts w:ascii="Wingdings" w:hAnsi="Wingdings" w:cs="Wingdings"/>
    </w:rPr>
  </w:style>
  <w:style w:type="character" w:styleId="WW8Num15z1">
    <w:name w:val="WW8Num15z1"/>
    <w:qFormat/>
    <w:rPr>
      <w:rFonts w:ascii="Courier New" w:hAnsi="Courier New" w:cs="Courier New"/>
    </w:rPr>
  </w:style>
  <w:style w:type="character" w:styleId="WW8Num15z0">
    <w:name w:val="WW8Num15z0"/>
    <w:qFormat/>
    <w:rPr>
      <w:rFonts w:ascii="Times New Roman" w:hAnsi="Times New Roman" w:eastAsia="Times New Roman" w:cs="Times New Roman"/>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4z0">
    <w:name w:val="WW8Num14z0"/>
    <w:qFormat/>
    <w:rPr/>
  </w:style>
  <w:style w:type="character" w:styleId="WW8Num13z3">
    <w:name w:val="WW8Num13z3"/>
    <w:qFormat/>
    <w:rPr>
      <w:rFonts w:ascii="Symbol" w:hAnsi="Symbol" w:cs="Symbol"/>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rFonts w:ascii="Times New Roman" w:hAnsi="Times New Roman" w:eastAsia="Times New Roman" w:cs="Times New Roman"/>
    </w:rPr>
  </w:style>
  <w:style w:type="character" w:styleId="WW8Num12z3">
    <w:name w:val="WW8Num12z3"/>
    <w:qFormat/>
    <w:rPr>
      <w:rFonts w:ascii="Symbol" w:hAnsi="Symbol" w:cs="Symbol"/>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rFonts w:ascii="Times New Roman" w:hAnsi="Times New Roman" w:eastAsia="Times New Roman" w:cs="Times New Roman"/>
    </w:rPr>
  </w:style>
  <w:style w:type="character" w:styleId="WW8Num11z3">
    <w:name w:val="WW8Num11z3"/>
    <w:qFormat/>
    <w:rPr>
      <w:rFonts w:ascii="Symbol" w:hAnsi="Symbol" w:cs="Symbol"/>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Times New Roman" w:hAnsi="Times New Roman" w:eastAsia="Times New Roman" w:cs="Times New Roman"/>
    </w:rPr>
  </w:style>
  <w:style w:type="character" w:styleId="WW8Num10z3">
    <w:name w:val="WW8Num10z3"/>
    <w:qFormat/>
    <w:rPr>
      <w:rFonts w:ascii="Symbol" w:hAnsi="Symbol" w:cs="Symbol"/>
    </w:rPr>
  </w:style>
  <w:style w:type="character" w:styleId="WW8Num10z2">
    <w:name w:val="WW8Num10z2"/>
    <w:qFormat/>
    <w:rPr>
      <w:rFonts w:ascii="Wingdings" w:hAnsi="Wingdings" w:cs="Wingdings"/>
    </w:rPr>
  </w:style>
  <w:style w:type="character" w:styleId="WW8Num10z1">
    <w:name w:val="WW8Num10z1"/>
    <w:qFormat/>
    <w:rPr>
      <w:rFonts w:ascii="Courier New" w:hAnsi="Courier New" w:cs="Courier New"/>
    </w:rPr>
  </w:style>
  <w:style w:type="character" w:styleId="WW8Num10z0">
    <w:name w:val="WW8Num10z0"/>
    <w:qFormat/>
    <w:rPr>
      <w:rFonts w:ascii="Times New Roman" w:hAnsi="Times New Roman" w:eastAsia="Times New Roman" w:cs="Times New Roman"/>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style>
  <w:style w:type="character" w:styleId="WW8Num8z3">
    <w:name w:val="WW8Num8z3"/>
    <w:qFormat/>
    <w:rPr>
      <w:rFonts w:ascii="Symbol" w:hAnsi="Symbol" w:cs="Symbol"/>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Times New Roman" w:hAnsi="Times New Roman" w:eastAsia="Times New Roman" w:cs="Times New Roman"/>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Fontepargpadro2">
    <w:name w:val="Fonte parág. padrão2"/>
    <w:qFormat/>
    <w:rPr/>
  </w:style>
  <w:style w:type="character" w:styleId="Fontepargpadro3">
    <w:name w:val="Fonte parág. padrão3"/>
    <w:qFormat/>
    <w:rPr/>
  </w:style>
  <w:style w:type="character" w:styleId="Fontepargpadro4">
    <w:name w:val="Fonte parág. padrão4"/>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Marcas">
    <w:name w:val="Marcas"/>
    <w:qFormat/>
    <w:rPr>
      <w:rFonts w:ascii="OpenSymbol" w:hAnsi="OpenSymbol" w:eastAsia="OpenSymbol" w:cs="OpenSymbol"/>
    </w:rPr>
  </w:style>
  <w:style w:type="character" w:styleId="Ttulo1Char">
    <w:name w:val="Título 1 Char"/>
    <w:qFormat/>
    <w:rPr>
      <w:rFonts w:ascii="Times New Roman" w:hAnsi="Times New Roman" w:eastAsia="Times New Roman"/>
      <w:b/>
      <w:sz w:val="20"/>
      <w:szCs w:val="20"/>
    </w:rPr>
  </w:style>
  <w:style w:type="character" w:styleId="Ttulo2Char">
    <w:name w:val="Título 2 Char"/>
    <w:qFormat/>
    <w:rPr>
      <w:rFonts w:ascii="Cambria" w:hAnsi="Cambria" w:eastAsia="Times New Roman"/>
      <w:b/>
      <w:bCs/>
      <w:color w:val="4F81BD"/>
      <w:sz w:val="26"/>
      <w:szCs w:val="26"/>
    </w:rPr>
  </w:style>
  <w:style w:type="character" w:styleId="t1">
    <w:name w:val="t1"/>
    <w:qFormat/>
    <w:rPr/>
  </w:style>
  <w:style w:type="character" w:styleId="t3">
    <w:name w:val="t3"/>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Emphasis">
    <w:name w:val="Emphasis"/>
    <w:qFormat/>
    <w:rPr>
      <w:i/>
      <w:iCs/>
    </w:rPr>
  </w:style>
  <w:style w:type="character" w:styleId="Marcadores">
    <w:name w:val="Marcadores"/>
    <w:qFormat/>
    <w:rPr>
      <w:rFonts w:ascii="OpenSymbol" w:hAnsi="OpenSymbol" w:eastAsia="OpenSymbol" w:cs="OpenSymbol"/>
    </w:rPr>
  </w:style>
  <w:style w:type="character" w:styleId="Marcadoresuser">
    <w:name w:val="Marcadores (user)"/>
    <w:qFormat/>
    <w:rPr>
      <w:rFonts w:ascii="OpenSymbol" w:hAnsi="OpenSymbol" w:eastAsia="OpenSymbol" w:cs="OpenSymbol"/>
    </w:rPr>
  </w:style>
  <w:style w:type="character" w:styleId="Smbolosdenumerao">
    <w:name w:val="Símbolos de numeração"/>
    <w:qFormat/>
    <w:rPr/>
  </w:style>
  <w:style w:type="character" w:styleId="Forte1">
    <w:name w:val="Forte1"/>
    <w:qFormat/>
    <w:rPr>
      <w:b/>
      <w:bCs/>
    </w:rPr>
  </w:style>
  <w:style w:type="character" w:styleId="Fontepargpadro">
    <w:name w:val="Fonte parág. padr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widowControl w:val="false"/>
      <w:tabs>
        <w:tab w:val="clear" w:pos="720"/>
        <w:tab w:val="left" w:pos="845" w:leader="none"/>
      </w:tabs>
      <w:spacing w:lineRule="auto" w:line="276" w:before="0" w:after="283"/>
      <w:ind w:firstLine="850" w:right="170"/>
      <w:jc w:val="both"/>
    </w:pPr>
    <w:rPr>
      <w:rFonts w:cs="Arial"/>
      <w:sz w:val="22"/>
      <w:szCs w:val="22"/>
    </w:rPr>
  </w:style>
  <w:style w:type="paragraph" w:styleId="List">
    <w:name w:val="List"/>
    <w:basedOn w:val="BodyText"/>
    <w:pPr/>
    <w:rPr/>
  </w:style>
  <w:style w:type="paragraph" w:styleId="Caption">
    <w:name w:val="caption"/>
    <w:basedOn w:val="Normal"/>
    <w:qFormat/>
    <w:pPr>
      <w:suppressLineNumbers/>
      <w:spacing w:before="120" w:after="120"/>
    </w:pPr>
    <w:rPr>
      <w:rFonts w:cs="Arial"/>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name w:val="caption11"/>
    <w:basedOn w:val="Normal"/>
    <w:qFormat/>
    <w:pPr>
      <w:suppressLineNumbers/>
      <w:spacing w:before="120" w:after="120"/>
    </w:pPr>
    <w:rPr>
      <w:rFonts w:cs="Arial"/>
      <w:i/>
      <w:iCs/>
    </w:rPr>
  </w:style>
  <w:style w:type="paragraph" w:styleId="caption111">
    <w:name w:val="caption111"/>
    <w:basedOn w:val="Normal"/>
    <w:qFormat/>
    <w:pPr>
      <w:suppressLineNumbers/>
      <w:spacing w:before="120" w:after="120"/>
    </w:pPr>
    <w:rPr>
      <w:rFonts w:cs="Arial"/>
      <w:i/>
      <w:iCs/>
    </w:rPr>
  </w:style>
  <w:style w:type="paragraph" w:styleId="caption1111">
    <w:name w:val="caption1111"/>
    <w:basedOn w:val="Normal"/>
    <w:qFormat/>
    <w:pPr>
      <w:suppressLineNumbers/>
      <w:spacing w:before="120" w:after="120"/>
    </w:pPr>
    <w:rPr>
      <w:rFonts w:cs="Arial"/>
      <w:i/>
      <w:iCs/>
    </w:rPr>
  </w:style>
  <w:style w:type="paragraph" w:styleId="BodyTextIndented">
    <w:name w:val="Body Text;Indented"/>
    <w:basedOn w:val="Normal"/>
    <w:link w:val="RecuodecorpodetextoChar"/>
    <w:qFormat/>
    <w:pPr>
      <w:ind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Cabealhoerodap36">
    <w:name w:val="Cabeçalho e rodapé36"/>
    <w:basedOn w:val="Normal"/>
    <w:qFormat/>
    <w:pPr/>
    <w:rPr/>
  </w:style>
  <w:style w:type="paragraph" w:styleId="Cabealhoerodap37">
    <w:name w:val="Cabeçalho e rodapé37"/>
    <w:basedOn w:val="Normal"/>
    <w:qFormat/>
    <w:pPr/>
    <w:rPr/>
  </w:style>
  <w:style w:type="paragraph" w:styleId="Cabealhoerodap38">
    <w:name w:val="Cabeçalho e rodapé38"/>
    <w:basedOn w:val="Normal"/>
    <w:qFormat/>
    <w:pPr/>
    <w:rPr/>
  </w:style>
  <w:style w:type="paragraph" w:styleId="Cabealhoerodap39">
    <w:name w:val="Cabeçalho e rodapé39"/>
    <w:basedOn w:val="Normal"/>
    <w:qFormat/>
    <w:pPr/>
    <w:rPr/>
  </w:style>
  <w:style w:type="paragraph" w:styleId="Cabealhoerodap40">
    <w:name w:val="Cabeçalho e rodapé40"/>
    <w:basedOn w:val="Normal"/>
    <w:qFormat/>
    <w:pPr/>
    <w:rPr/>
  </w:style>
  <w:style w:type="paragraph" w:styleId="Cabealhoerodap41">
    <w:name w:val="Cabeçalho e rodapé41"/>
    <w:basedOn w:val="Normal"/>
    <w:qFormat/>
    <w:pPr/>
    <w:rPr/>
  </w:style>
  <w:style w:type="paragraph" w:styleId="Cabealhoerodap42">
    <w:name w:val="Cabeçalho e rodapé42"/>
    <w:basedOn w:val="Normal"/>
    <w:qFormat/>
    <w:pPr/>
    <w:rPr/>
  </w:style>
  <w:style w:type="paragraph" w:styleId="Cabealhoerodap43">
    <w:name w:val="Cabeçalho e rodapé43"/>
    <w:basedOn w:val="Normal"/>
    <w:qFormat/>
    <w:pPr/>
    <w:rPr/>
  </w:style>
  <w:style w:type="paragraph" w:styleId="Cabealhoerodap44">
    <w:name w:val="Cabeçalho e rodapé44"/>
    <w:basedOn w:val="Normal"/>
    <w:qFormat/>
    <w:pPr/>
    <w:rPr/>
  </w:style>
  <w:style w:type="paragraph" w:styleId="Cabealhoerodap45">
    <w:name w:val="Cabeçalho e rodapé45"/>
    <w:basedOn w:val="Normal"/>
    <w:qFormat/>
    <w:pPr/>
    <w:rPr/>
  </w:style>
  <w:style w:type="paragraph" w:styleId="Cabealhoerodap46">
    <w:name w:val="Cabeçalho e rodapé46"/>
    <w:basedOn w:val="Normal"/>
    <w:qFormat/>
    <w:pPr/>
    <w:rPr/>
  </w:style>
  <w:style w:type="paragraph" w:styleId="Header">
    <w:name w:val="header"/>
    <w:basedOn w:val="Normal"/>
    <w:pPr>
      <w:tabs>
        <w:tab w:val="clear" w:pos="720"/>
        <w:tab w:val="center" w:pos="4419" w:leader="none"/>
        <w:tab w:val="right" w:pos="8838" w:leader="none"/>
      </w:tabs>
    </w:pPr>
    <w:rPr/>
  </w:style>
  <w:style w:type="paragraph" w:styleId="Footer">
    <w:name w:val="footer"/>
    <w:basedOn w:val="Normal"/>
    <w:pPr>
      <w:tabs>
        <w:tab w:val="clear" w:pos="720"/>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280" w:after="280"/>
    </w:pPr>
    <w:rPr>
      <w:color w:val="000000"/>
    </w:rPr>
  </w:style>
  <w:style w:type="paragraph" w:styleId="Corpodetexto2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name w:val="Default"/>
    <w:qFormat/>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name w:val="Endnote Symbol"/>
    <w:basedOn w:val="Normal"/>
    <w:qFormat/>
    <w:pPr>
      <w:spacing w:lineRule="auto" w:line="276" w:before="0" w:after="200"/>
    </w:pPr>
    <w:rPr>
      <w:rFonts w:ascii="Calibri" w:hAnsi="Calibri" w:eastAsia="Calibri"/>
      <w:sz w:val="20"/>
      <w:szCs w:val="20"/>
      <w:lang w:eastAsia="en-US"/>
    </w:rPr>
  </w:style>
  <w:style w:type="paragraph" w:styleId="Textopadro">
    <w:name w:val="Texto padrão"/>
    <w:basedOn w:val="Normal"/>
    <w:qFormat/>
    <w:pPr/>
    <w:rPr>
      <w:szCs w:val="20"/>
      <w:lang w:eastAsia="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jc w:val="center"/>
    </w:pPr>
    <w:rPr>
      <w:b/>
      <w:bCs/>
    </w:rPr>
  </w:style>
  <w:style w:type="paragraph" w:styleId="Recuodecorpodetexto22">
    <w:name w:val="Recuo de corpo de texto 22"/>
    <w:basedOn w:val="Normal"/>
    <w:qFormat/>
    <w:pPr>
      <w:spacing w:lineRule="auto" w:line="360"/>
      <w:ind w:firstLine="2835"/>
      <w:jc w:val="both"/>
    </w:pPr>
    <w:rPr>
      <w:rFonts w:ascii="Arial" w:hAnsi="Arial" w:cs="Arial"/>
    </w:rPr>
  </w:style>
  <w:style w:type="paragraph" w:styleId="Recuodecorpodetexto21">
    <w:name w:val="Recuo de corpo de texto 21"/>
    <w:basedOn w:val="Normal"/>
    <w:qFormat/>
    <w:pPr>
      <w:spacing w:lineRule="auto" w:line="360"/>
      <w:ind w:firstLine="2835"/>
      <w:jc w:val="both"/>
    </w:pPr>
    <w:rPr>
      <w:rFonts w:ascii="Arial" w:hAnsi="Arial" w:cs="Arial"/>
    </w:rPr>
  </w:style>
  <w:style w:type="paragraph" w:styleId="Recuodecorpodetexto31">
    <w:name w:val="Recuo de corpo de texto 31"/>
    <w:basedOn w:val="Normal"/>
    <w:qFormat/>
    <w:pPr>
      <w:ind w:firstLine="1620"/>
      <w:jc w:val="both"/>
    </w:pPr>
    <w:rPr>
      <w:sz w:val="28"/>
    </w:rPr>
  </w:style>
  <w:style w:type="paragraph" w:styleId="Ttulo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left="720"/>
      <w:contextualSpacing/>
    </w:pPr>
    <w:rPr>
      <w:rFonts w:ascii="Calibri" w:hAnsi="Calibri" w:eastAsia="Calibri"/>
      <w:sz w:val="22"/>
      <w:szCs w:val="22"/>
      <w:lang w:eastAsia="ar-SA"/>
    </w:rPr>
  </w:style>
  <w:style w:type="paragraph" w:styleId="p7">
    <w:name w:val="p7"/>
    <w:basedOn w:val="Normal"/>
    <w:qFormat/>
    <w:pPr>
      <w:spacing w:before="280" w:after="280"/>
    </w:pPr>
    <w:rPr/>
  </w:style>
  <w:style w:type="paragraph" w:styleId="p19">
    <w:name w:val="p19"/>
    <w:basedOn w:val="Normal"/>
    <w:qFormat/>
    <w:pPr>
      <w:spacing w:before="280" w:after="280"/>
    </w:pPr>
    <w:rPr/>
  </w:style>
  <w:style w:type="paragraph" w:styleId="Commarcadores31">
    <w:name w:val="Com marcadores 31"/>
    <w:basedOn w:val="Normal"/>
    <w:qFormat/>
    <w:pPr>
      <w:jc w:val="both"/>
    </w:pPr>
    <w:rPr>
      <w:b/>
      <w:sz w:val="20"/>
    </w:rPr>
  </w:style>
  <w:style w:type="paragraph" w:styleId="TableParagraph">
    <w:name w:val="Table Paragraph"/>
    <w:basedOn w:val="Normal"/>
    <w:qFormat/>
    <w:pPr/>
    <w:rPr>
      <w:lang w:val="pt-PT" w:eastAsia="en-US"/>
    </w:rPr>
  </w:style>
  <w:style w:type="paragraph" w:styleId="Standard">
    <w:name w:val="Standard"/>
    <w:qFormat/>
    <w:pPr>
      <w:widowControl w:val="false"/>
      <w:suppressAutoHyphens w:val="true"/>
      <w:overflowPunct w:val="false"/>
      <w:bidi w:val="0"/>
      <w:spacing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jc w:val="center"/>
    </w:pPr>
    <w:rPr>
      <w:b/>
      <w:bCs/>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 w:type="paragraph" w:styleId="Cabealhoerodap321">
    <w:name w:val="Cabeçalho e rodapé321"/>
    <w:basedOn w:val="Normal"/>
    <w:qFormat/>
    <w:pPr/>
    <w:rPr/>
  </w:style>
  <w:style w:type="paragraph" w:styleId="Corpodetexto31">
    <w:name w:val="Corpo de texto 31"/>
    <w:basedOn w:val="Normal"/>
    <w:qFormat/>
    <w:pPr>
      <w:spacing w:before="0" w:after="120"/>
    </w:pPr>
    <w:rPr>
      <w:sz w:val="16"/>
      <w:szCs w:val="16"/>
    </w:rPr>
  </w:style>
  <w:style w:type="paragraph" w:styleId="Cabealhoerodap151">
    <w:name w:val="Cabeçalho e rodapé151"/>
    <w:basedOn w:val="Normal"/>
    <w:qFormat/>
    <w:pPr/>
    <w:rPr/>
  </w:style>
  <w:style w:type="paragraph" w:styleId="Cabealhoerodap101">
    <w:name w:val="Cabeçalho e rodapé101"/>
    <w:basedOn w:val="Normal"/>
    <w:qFormat/>
    <w:pPr/>
    <w:rPr/>
  </w:style>
  <w:style w:type="paragraph" w:styleId="Cabealhoerodap111">
    <w:name w:val="Cabeçalho e rodapé111"/>
    <w:basedOn w:val="Normal"/>
    <w:qFormat/>
    <w:pPr/>
    <w:rPr/>
  </w:style>
  <w:style w:type="paragraph" w:styleId="Cabealhoerodap121">
    <w:name w:val="Cabeçalho e rodapé121"/>
    <w:basedOn w:val="Normal"/>
    <w:qFormat/>
    <w:pPr/>
    <w:rPr/>
  </w:style>
  <w:style w:type="paragraph" w:styleId="Cabealhoerodap131">
    <w:name w:val="Cabeçalho e rodapé131"/>
    <w:basedOn w:val="Normal"/>
    <w:qFormat/>
    <w:pPr/>
    <w:rPr/>
  </w:style>
  <w:style w:type="paragraph" w:styleId="Cabealhoerodap141">
    <w:name w:val="Cabeçalho e rodapé141"/>
    <w:basedOn w:val="Normal"/>
    <w:qFormat/>
    <w:pPr/>
    <w:rPr/>
  </w:style>
  <w:style w:type="paragraph" w:styleId="Cabealhoerodap211">
    <w:name w:val="Cabeçalho e rodapé211"/>
    <w:basedOn w:val="Normal"/>
    <w:qFormat/>
    <w:pPr/>
    <w:rPr/>
  </w:style>
  <w:style w:type="paragraph" w:styleId="caption11111">
    <w:name w:val="caption11111"/>
    <w:basedOn w:val="Normal"/>
    <w:qFormat/>
    <w:pPr>
      <w:suppressLineNumbers/>
      <w:spacing w:before="120" w:after="120"/>
    </w:pPr>
    <w:rPr>
      <w:rFonts w:cs="Arial"/>
      <w:i/>
      <w:iCs/>
    </w:rPr>
  </w:style>
  <w:style w:type="numbering" w:styleId="Semlista">
    <w:name w:val="Sem lista"/>
    <w:qFormat/>
  </w:style>
  <w:style w:type="numbering" w:styleId="WW8Num1">
    <w:name w:val="WW8Num1"/>
    <w:qFormat/>
  </w:style>
  <w:style w:type="numbering" w:styleId="WW8Num15">
    <w:name w:val="WW8Num15"/>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3821</TotalTime>
  <Application>LibreOffice/25.8.5.2$Windows_X86_64 LibreOffice_project/9c8b85f387cc00a89945a79c9e6239f32e450ac2</Application>
  <AppVersion>15.0000</AppVersion>
  <Pages>4</Pages>
  <Words>1122</Words>
  <Characters>7006</Characters>
  <CharactersWithSpaces>8062</CharactersWithSpaces>
  <Paragraphs>79</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2025-04-25T15:54:00Z</dcterms:created>
  <dc:creator>suporte</dc:creator>
  <dc:description/>
  <dc:language>pt-BR</dc:language>
  <cp:lastModifiedBy/>
  <cp:lastPrinted>2025-08-19T17:18:56Z</cp:lastPrinted>
  <dcterms:modified xsi:type="dcterms:W3CDTF">2026-03-25T11:36:33Z</dcterms:modified>
  <cp:revision>165</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