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16 (dezesseis) dias de julho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35</w:t>
      </w:r>
      <w:r>
        <w:rPr>
          <w:rFonts w:cs="Calibri" w:cstheme="minorHAnsi"/>
          <w:b/>
          <w:bCs/>
          <w:sz w:val="24"/>
          <w:szCs w:val="24"/>
          <w:shd w:fill="auto" w:val="clear"/>
        </w:rPr>
        <w:t>/2025</w:t>
      </w:r>
      <w:r>
        <w:rPr>
          <w:rFonts w:cs="Calibri" w:cstheme="minorHAnsi"/>
          <w:b/>
          <w:bCs/>
          <w:sz w:val="24"/>
          <w:szCs w:val="24"/>
        </w:rPr>
        <w:t xml:space="preserve"> - INEXIGIBILIDADE DE LICITAÇÃO Nº. 09/2025.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35/2025</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jc w:val="both"/>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 da Câmara Municipal de Três Passos-RS no C</w:t>
            </w:r>
            <w:r>
              <w:rPr>
                <w:rStyle w:val="Fontepargpadro"/>
                <w:color w:val="auto"/>
                <w:u w:val="none"/>
                <w:lang w:val="pt-BR" w:eastAsia="ar-SA" w:bidi="ar-SA"/>
              </w:rPr>
              <w:t>urso “</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Fontepargpadro"/>
                <w:color w:val="auto"/>
                <w:u w:val="none"/>
                <w:lang w:val="pt-BR" w:eastAsia="ar-SA" w:bidi="ar-SA"/>
              </w:rPr>
              <w:t>”.</w:t>
            </w:r>
          </w:p>
        </w:tc>
      </w:tr>
      <w:tr>
        <w:trPr>
          <w:trHeight w:val="745"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sz w:val="24"/>
                <w:szCs w:val="24"/>
              </w:rPr>
              <w:t>No contexto atual, marcado pela crescente transformação digital e por exigências cada vez mais rigorosas em termos de transparência, legalidade e eficiência, torna-se essencial que os servidores do Poder Legislativo de Três Passos participem de cursos de aperfeiçoamento, visando à atualização contínua sobre inovações tecnológicas, inteligência artificial, controle externo, técnica legislativa e temas correlatos que impactam diretamente a atuação da Administração Pública.</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A capacitação contínua dos servidores contribui diretamente para o aprimoramento técnico e institucional da Câmara Municipal, tornando-os aptos a lidar com temas complexos e atuais, como a aplicação da inteligência artificial generativa no serviço público, o exercício do controle externo, o julgamento das contas do Executivo, a elaboração legislativa conforme a Lei Complementar nº 95/1998 e a observância das normas de transparência e proteção de dados previstas na Lei de Acesso à Informação (LAI) e na Lei Geral de Proteção de Dados (LGPD).</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 xml:space="preserve">O curso objeto da presente contratação contempla, entre outros tópicos, o uso de IA para aprimoramento de serviços públicos, fiscalização orçamentária, elaboração de documentos legislativos, análise de inconsistências normativas, julgamento das contas municipais com foco no decreto de reversão por dois terços, processo legislativo municipal, competências legislativas, estruturação de normas, e boas práticas para implantação da LGPD no âmbito do poder público. A abordagem prática inclui ainda estudos de caso, estratégias de atuação parlamentar, ferramentas de fiscalização e técnicas de </w:t>
            </w:r>
            <w:r>
              <w:rPr>
                <w:rStyle w:val="Emphasis"/>
                <w:rFonts w:cs="Calibri" w:ascii="Times New Roman" w:hAnsi="Times New Roman" w:cstheme="minorHAnsi"/>
              </w:rPr>
              <w:t>prompt engineering</w:t>
            </w:r>
            <w:r>
              <w:rPr>
                <w:rFonts w:cs="Calibri" w:ascii="Times New Roman" w:hAnsi="Times New Roman" w:cstheme="minorHAnsi"/>
              </w:rPr>
              <w:t xml:space="preserve"> aplicadas ao legislativo.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Esses conhecimentos são fundamentais para o adequado cumprimento das atribuições do servidor público, especialmente diante das novas ferramentas tecnológicas e exigências legais, promovendo maior segurança jurídica, eficiência processual, transparência institucional e governança digital.</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Nesse sentido, o presente estudo se fundamenta na necessidade de capacitação de 01 (um) servidor, sendo ele:</w:t>
            </w:r>
          </w:p>
          <w:p>
            <w:pPr>
              <w:pStyle w:val="Normal"/>
              <w:widowControl w:val="false"/>
              <w:spacing w:lineRule="auto" w:line="276" w:before="0" w:after="160"/>
              <w:jc w:val="both"/>
              <w:rPr>
                <w:rFonts w:cs="Calibri" w:cstheme="minorHAnsi"/>
                <w:highlight w:val="none"/>
                <w:shd w:fill="auto" w:val="clear"/>
              </w:rPr>
            </w:pPr>
            <w:r>
              <w:rPr>
                <w:rFonts w:cs="Calibri" w:cstheme="minorHAnsi"/>
                <w:sz w:val="24"/>
                <w:szCs w:val="24"/>
                <w:shd w:fill="auto" w:val="clear"/>
              </w:rPr>
              <w:t>* Julia Kerber Alves.</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222"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1</w:t>
                  </w:r>
                </w:p>
              </w:tc>
              <w:tc>
                <w:tcPr>
                  <w:tcW w:w="3638" w:type="dxa"/>
                  <w:tcBorders>
                    <w:bottom w:val="single" w:sz="8" w:space="0" w:color="000000"/>
                    <w:right w:val="single" w:sz="4" w:space="0" w:color="000000"/>
                  </w:tcBorders>
                </w:tcPr>
                <w:p>
                  <w:pPr>
                    <w:pStyle w:val="Normal"/>
                    <w:spacing w:lineRule="auto" w:line="276"/>
                    <w:jc w:val="both"/>
                    <w:rPr/>
                  </w:pPr>
                  <w:r>
                    <w:rPr>
                      <w:color w:val="auto"/>
                      <w:sz w:val="20"/>
                      <w:szCs w:val="20"/>
                    </w:rPr>
                    <w:t xml:space="preserve">Curso sobre </w:t>
                  </w:r>
                  <w:r>
                    <w:rPr>
                      <w:rStyle w:val="Hyperlink"/>
                      <w:color w:val="auto"/>
                      <w:sz w:val="20"/>
                      <w:szCs w:val="20"/>
                      <w:u w:val="none"/>
                      <w:lang w:val="pt-BR" w:eastAsia="ar-SA" w:bidi="ar-SA"/>
                    </w:rPr>
                    <w:t>“</w:t>
                  </w:r>
                  <w:r>
                    <w:rPr>
                      <w:rStyle w:val="Fontepargpadro"/>
                      <w:rFonts w:eastAsia="Calibri" w:cs="Times New Roman"/>
                      <w:b w:val="false"/>
                      <w:bCs w:val="false"/>
                      <w:i w:val="false"/>
                      <w:iCs w:val="false"/>
                      <w:color w:val="000000"/>
                      <w:w w:val="115"/>
                      <w:kern w:val="0"/>
                      <w:sz w:val="20"/>
                      <w:szCs w:val="20"/>
                      <w:u w:val="none"/>
                      <w:shd w:fill="auto" w:val="clear"/>
                      <w:lang w:val="pt-BR" w:eastAsia="ar-SA" w:bidi="ar-SA"/>
                    </w:rPr>
                    <w:t>Assessoria e Vereança Eficientes: Gestão Documental, Redação Legislativa, Produtividade, Trabalho em Equipe e Desenvolvimento Contínuo</w:t>
                  </w:r>
                  <w:r>
                    <w:rPr>
                      <w:rStyle w:val="Fontepargpadro"/>
                      <w:color w:val="auto"/>
                      <w:sz w:val="20"/>
                      <w:szCs w:val="20"/>
                      <w:u w:val="none"/>
                      <w:lang w:val="pt-BR" w:eastAsia="ar-SA" w:bidi="ar-SA"/>
                    </w:rPr>
                    <w:t>”</w:t>
                  </w:r>
                </w:p>
                <w:p>
                  <w:pPr>
                    <w:pStyle w:val="Normal"/>
                    <w:spacing w:lineRule="auto" w:line="276"/>
                    <w:jc w:val="both"/>
                    <w:rPr>
                      <w:rFonts w:ascii="Times New Roman" w:hAnsi="Times New Roman"/>
                      <w:sz w:val="20"/>
                      <w:szCs w:val="20"/>
                    </w:rPr>
                  </w:pPr>
                  <w:r>
                    <w:rPr>
                      <w:sz w:val="20"/>
                      <w:szCs w:val="20"/>
                    </w:rPr>
                  </w:r>
                </w:p>
                <w:p>
                  <w:pPr>
                    <w:pStyle w:val="Normal"/>
                    <w:spacing w:lineRule="auto" w:line="276"/>
                    <w:jc w:val="both"/>
                    <w:rPr>
                      <w:sz w:val="20"/>
                      <w:szCs w:val="20"/>
                    </w:rPr>
                  </w:pPr>
                  <w:r>
                    <w:rPr>
                      <w:sz w:val="20"/>
                      <w:szCs w:val="20"/>
                    </w:rPr>
                    <w:t>Programação: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INTELIGÊNCIA ARTIFICIAL GENERATIVA (IAG) NO SERVIÇO PÚBLICO:</w:t>
                  </w:r>
                </w:p>
                <w:p>
                  <w:pPr>
                    <w:pStyle w:val="Normal"/>
                    <w:spacing w:lineRule="auto" w:line="276"/>
                    <w:jc w:val="both"/>
                    <w:rPr>
                      <w:rFonts w:ascii="Times New Roman" w:hAnsi="Times New Roman"/>
                      <w:b w:val="false"/>
                      <w:i w:val="false"/>
                      <w:i w:val="false"/>
                      <w:caps w:val="false"/>
                      <w:smallCaps w:val="false"/>
                      <w:color w:val="auto"/>
                      <w:spacing w:val="0"/>
                      <w:sz w:val="20"/>
                      <w:szCs w:val="20"/>
                      <w:u w:val="single"/>
                    </w:rPr>
                  </w:pPr>
                  <w:r>
                    <w:rPr>
                      <w:b w:val="false"/>
                      <w:i w:val="false"/>
                      <w:caps w:val="false"/>
                      <w:smallCaps w:val="false"/>
                      <w:color w:val="auto"/>
                      <w:spacing w:val="0"/>
                      <w:sz w:val="20"/>
                      <w:szCs w:val="20"/>
                      <w:u w:val="single"/>
                    </w:rPr>
                    <w:t>Aula | terça-tarde</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APLICAÇÕES PRÁTICAS DE IA NO SERVIÇO PÚBLICO: CASOS PRÁTICOS DE IMPLEMENTAÇÃO EM CIDADES:</w:t>
                  </w:r>
                </w:p>
                <w:p>
                  <w:pPr>
                    <w:pStyle w:val="Normal"/>
                    <w:numPr>
                      <w:ilvl w:val="0"/>
                      <w:numId w:val="2"/>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Uso de chatbots e assistentes virtuais para atendimento ao cidadão;</w:t>
                  </w:r>
                </w:p>
                <w:p>
                  <w:pPr>
                    <w:pStyle w:val="Normal"/>
                    <w:numPr>
                      <w:ilvl w:val="0"/>
                      <w:numId w:val="1"/>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Aprimoramento do planejamento urbano com a análise preditiva e georreferenciamento;</w:t>
                  </w:r>
                </w:p>
                <w:p>
                  <w:pPr>
                    <w:pStyle w:val="Normal"/>
                    <w:numPr>
                      <w:ilvl w:val="0"/>
                      <w:numId w:val="1"/>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Monitoramento de obras e infraestrutura;</w:t>
                  </w:r>
                </w:p>
                <w:p>
                  <w:pPr>
                    <w:pStyle w:val="Normal"/>
                    <w:numPr>
                      <w:ilvl w:val="0"/>
                      <w:numId w:val="1"/>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Combate à evasão fiscal, prevenção e detecção de fraudes;</w:t>
                  </w:r>
                </w:p>
                <w:p>
                  <w:pPr>
                    <w:pStyle w:val="Normal"/>
                    <w:numPr>
                      <w:ilvl w:val="0"/>
                      <w:numId w:val="1"/>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Apoio à formulação de políticas públicas de saúde e educação com base em evidências;</w:t>
                  </w:r>
                </w:p>
                <w:p>
                  <w:pPr>
                    <w:pStyle w:val="Normal"/>
                    <w:numPr>
                      <w:ilvl w:val="0"/>
                      <w:numId w:val="1"/>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Aplicações em segurança pública e vigilância urbana;</w:t>
                  </w:r>
                </w:p>
                <w:p>
                  <w:pPr>
                    <w:pStyle w:val="Normal"/>
                    <w:numPr>
                      <w:ilvl w:val="0"/>
                      <w:numId w:val="1"/>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Estudo de caso: uso de IA na Câmara de Vereadores de Porto Alegre.</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 QUE É INTELIGÊNCIA ARTIFICIAL GENERATIVA (IAG)?</w:t>
                  </w:r>
                </w:p>
                <w:p>
                  <w:pPr>
                    <w:pStyle w:val="Normal"/>
                    <w:numPr>
                      <w:ilvl w:val="0"/>
                      <w:numId w:val="3"/>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Conceito e funcionamento da IAG: geração de texto, imagem, áudio e vídeo;</w:t>
                  </w:r>
                </w:p>
                <w:p>
                  <w:pPr>
                    <w:pStyle w:val="Normal"/>
                    <w:numPr>
                      <w:ilvl w:val="0"/>
                      <w:numId w:val="3"/>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Diferença entre modelos preditivos e modelos generativos;</w:t>
                  </w:r>
                </w:p>
                <w:p>
                  <w:pPr>
                    <w:pStyle w:val="Normal"/>
                    <w:numPr>
                      <w:ilvl w:val="0"/>
                      <w:numId w:val="3"/>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Capacidades, limitações e evolução da IAG no cenário atual.</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MODELOS DE IAG:</w:t>
                  </w:r>
                </w:p>
                <w:p>
                  <w:pPr>
                    <w:pStyle w:val="Normal"/>
                    <w:numPr>
                      <w:ilvl w:val="0"/>
                      <w:numId w:val="4"/>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Fechados;</w:t>
                  </w:r>
                </w:p>
                <w:p>
                  <w:pPr>
                    <w:pStyle w:val="Normal"/>
                    <w:numPr>
                      <w:ilvl w:val="0"/>
                      <w:numId w:val="4"/>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Abertos;</w:t>
                  </w:r>
                </w:p>
                <w:p>
                  <w:pPr>
                    <w:pStyle w:val="Normal"/>
                    <w:numPr>
                      <w:ilvl w:val="0"/>
                      <w:numId w:val="4"/>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Tendências.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 xml:space="preserve"> </w:t>
                  </w:r>
                  <w:r>
                    <w:rPr>
                      <w:b w:val="false"/>
                      <w:i w:val="false"/>
                      <w:caps w:val="false"/>
                      <w:smallCaps w:val="false"/>
                      <w:color w:val="auto"/>
                      <w:spacing w:val="0"/>
                      <w:sz w:val="20"/>
                      <w:szCs w:val="20"/>
                    </w:rPr>
                    <w:t>PRINCÍPIOS FUNDAMENTAIS PARA O USO RESPONSÁVEL DA IAG NO SERVIÇO PÚBLICO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RISCOS DO USO DE IAG DO SERVIÇO PÚBLICO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RECOMENDAÇÕES E BOAS PRÁTICAS DE USO DE IAG NO SERVIÇO PÚBLICO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ORIENTAÇÕES FUNDAMENTAIS PARA O DESENVOLVIMENTO DA TÉCNICA LEGISLATIVA:</w:t>
                  </w:r>
                </w:p>
                <w:p>
                  <w:pPr>
                    <w:pStyle w:val="Normal"/>
                    <w:spacing w:lineRule="auto" w:line="276"/>
                    <w:jc w:val="both"/>
                    <w:rPr>
                      <w:rFonts w:ascii="Times New Roman" w:hAnsi="Times New Roman"/>
                      <w:b w:val="false"/>
                      <w:i w:val="false"/>
                      <w:i w:val="false"/>
                      <w:caps w:val="false"/>
                      <w:smallCaps w:val="false"/>
                      <w:color w:val="auto"/>
                      <w:spacing w:val="0"/>
                      <w:sz w:val="20"/>
                      <w:szCs w:val="20"/>
                      <w:u w:val="single"/>
                    </w:rPr>
                  </w:pPr>
                  <w:r>
                    <w:rPr>
                      <w:b w:val="false"/>
                      <w:i w:val="false"/>
                      <w:caps w:val="false"/>
                      <w:smallCaps w:val="false"/>
                      <w:color w:val="auto"/>
                      <w:spacing w:val="0"/>
                      <w:sz w:val="20"/>
                      <w:szCs w:val="20"/>
                      <w:u w:val="single"/>
                    </w:rPr>
                    <w:t>Aula|quarta-manhã</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ORIENTAÇÕES FUNDAMENTAIS PARA O DESENVOLVIMENTO DA TÉCNICA LEGISLATIVA:</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FUNDAMENTOS DA TÉCNICA LEGISLATIVA:</w:t>
                  </w:r>
                </w:p>
                <w:p>
                  <w:pPr>
                    <w:pStyle w:val="Normal"/>
                    <w:numPr>
                      <w:ilvl w:val="0"/>
                      <w:numId w:val="5"/>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Conceito e importância da redação legislativa;</w:t>
                  </w:r>
                </w:p>
                <w:p>
                  <w:pPr>
                    <w:pStyle w:val="Normal"/>
                    <w:numPr>
                      <w:ilvl w:val="0"/>
                      <w:numId w:val="5"/>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Princípios da boa redação normativa;</w:t>
                  </w:r>
                </w:p>
                <w:p>
                  <w:pPr>
                    <w:pStyle w:val="Normal"/>
                    <w:numPr>
                      <w:ilvl w:val="0"/>
                      <w:numId w:val="5"/>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Linguagem jurídica e acessibilidade na legislação.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ESTRUTURA E TÉCNICA LEGISLATIVA:</w:t>
                  </w:r>
                </w:p>
                <w:p>
                  <w:pPr>
                    <w:pStyle w:val="Normal"/>
                    <w:numPr>
                      <w:ilvl w:val="0"/>
                      <w:numId w:val="6"/>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Elementos essenciais de um texto normativo;</w:t>
                  </w:r>
                </w:p>
                <w:p>
                  <w:pPr>
                    <w:pStyle w:val="Normal"/>
                    <w:numPr>
                      <w:ilvl w:val="0"/>
                      <w:numId w:val="6"/>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Estrutura formal das leis: parte preliminar, normativa e final;</w:t>
                  </w:r>
                </w:p>
                <w:p>
                  <w:pPr>
                    <w:pStyle w:val="Normal"/>
                    <w:numPr>
                      <w:ilvl w:val="0"/>
                      <w:numId w:val="6"/>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 uso de artigos, incisos, parágrafos, alíneas e itens.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LEI COMPLEMENTAR Nº 95/1998 E NORMAS DE REDAÇÃO LEGISLATIVA:</w:t>
                  </w:r>
                </w:p>
                <w:p>
                  <w:pPr>
                    <w:pStyle w:val="Normal"/>
                    <w:numPr>
                      <w:ilvl w:val="0"/>
                      <w:numId w:val="7"/>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Objetivos e aplicação da Lei Complementar nº 95/1998;</w:t>
                  </w:r>
                </w:p>
                <w:p>
                  <w:pPr>
                    <w:pStyle w:val="Normal"/>
                    <w:numPr>
                      <w:ilvl w:val="0"/>
                      <w:numId w:val="7"/>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Princípios de clareza, precisão e ordem lógica na redação das leis;</w:t>
                  </w:r>
                </w:p>
                <w:p>
                  <w:pPr>
                    <w:pStyle w:val="Normal"/>
                    <w:numPr>
                      <w:ilvl w:val="0"/>
                      <w:numId w:val="7"/>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Estruturação dos dispositivos normativos segundo a Lei Complementar nº 95/1998;</w:t>
                  </w:r>
                </w:p>
                <w:p>
                  <w:pPr>
                    <w:pStyle w:val="Normal"/>
                    <w:numPr>
                      <w:ilvl w:val="0"/>
                      <w:numId w:val="7"/>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Alteração, revogação e repristinação;</w:t>
                  </w:r>
                </w:p>
                <w:p>
                  <w:pPr>
                    <w:pStyle w:val="Normal"/>
                    <w:numPr>
                      <w:ilvl w:val="0"/>
                      <w:numId w:val="7"/>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Classificação normativa e relação entre leis e decretos.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COMPETÊNCIAS LEGISLATIVAS E FEDERALISMO</w:t>
                  </w:r>
                </w:p>
                <w:p>
                  <w:pPr>
                    <w:pStyle w:val="Normal"/>
                    <w:numPr>
                      <w:ilvl w:val="0"/>
                      <w:numId w:val="8"/>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Competências legislativas da União, dos Estados e dos Municípios;</w:t>
                  </w:r>
                </w:p>
                <w:p>
                  <w:pPr>
                    <w:pStyle w:val="Normal"/>
                    <w:numPr>
                      <w:ilvl w:val="0"/>
                      <w:numId w:val="8"/>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Repartição de competências segundo a Constituição Federal;</w:t>
                  </w:r>
                </w:p>
                <w:p>
                  <w:pPr>
                    <w:pStyle w:val="Normal"/>
                    <w:numPr>
                      <w:ilvl w:val="0"/>
                      <w:numId w:val="8"/>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Conflitos de competência legislativa e suas soluções;</w:t>
                  </w:r>
                </w:p>
                <w:p>
                  <w:pPr>
                    <w:pStyle w:val="Normal"/>
                    <w:numPr>
                      <w:ilvl w:val="0"/>
                      <w:numId w:val="8"/>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Legislação concorrente e suplementar.</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PROCESSO LEGISLATIVO E ELABORAÇÃO NORMATIVA:</w:t>
                  </w:r>
                </w:p>
                <w:p>
                  <w:pPr>
                    <w:pStyle w:val="Normal"/>
                    <w:numPr>
                      <w:ilvl w:val="0"/>
                      <w:numId w:val="9"/>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Etapas do processo legislativo no Brasil;</w:t>
                  </w:r>
                </w:p>
                <w:p>
                  <w:pPr>
                    <w:pStyle w:val="Normal"/>
                    <w:numPr>
                      <w:ilvl w:val="0"/>
                      <w:numId w:val="9"/>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Tipos de proposições legislativas (projetos de lei, medidas provisórias, decretos, etc.);</w:t>
                  </w:r>
                </w:p>
                <w:p>
                  <w:pPr>
                    <w:pStyle w:val="Normal"/>
                    <w:numPr>
                      <w:ilvl w:val="0"/>
                      <w:numId w:val="9"/>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Técnica de elaboração de emendas parlamentares;</w:t>
                  </w:r>
                </w:p>
                <w:p>
                  <w:pPr>
                    <w:pStyle w:val="Normal"/>
                    <w:numPr>
                      <w:ilvl w:val="0"/>
                      <w:numId w:val="9"/>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Vetos e sanções de normas.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QUALIDADE NORMATIVA E CONTROLE DE CONSTITUCIONALIDADE</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REDAÇÃO LEGISLATIVA NO ÂMBITO MUNICIPAL</w:t>
                  </w:r>
                </w:p>
                <w:p>
                  <w:pPr>
                    <w:pStyle w:val="Normal"/>
                    <w:numPr>
                      <w:ilvl w:val="0"/>
                      <w:numId w:val="10"/>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A tramitação de projetos de lei na Câmara Municipal;</w:t>
                  </w:r>
                </w:p>
                <w:p>
                  <w:pPr>
                    <w:pStyle w:val="Normal"/>
                    <w:numPr>
                      <w:ilvl w:val="0"/>
                      <w:numId w:val="10"/>
                    </w:numPr>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t>Como elaborar justificativas para projetos de lei;</w:t>
                  </w:r>
                </w:p>
                <w:p>
                  <w:pPr>
                    <w:pStyle w:val="Normal"/>
                    <w:numPr>
                      <w:ilvl w:val="0"/>
                      <w:numId w:val="10"/>
                    </w:numPr>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 papel do vereador na fiscalização e na redação de normas municipais.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Julgamento das Contas Municipais e o Decreto de Reversão de 2/3: Entendendo o Processo e as Estratégias.</w:t>
                  </w:r>
                </w:p>
                <w:p>
                  <w:pPr>
                    <w:pStyle w:val="Normal"/>
                    <w:spacing w:lineRule="auto" w:line="276"/>
                    <w:jc w:val="both"/>
                    <w:rPr>
                      <w:rFonts w:ascii="Times New Roman" w:hAnsi="Times New Roman"/>
                      <w:b w:val="false"/>
                      <w:i w:val="false"/>
                      <w:i w:val="false"/>
                      <w:caps w:val="false"/>
                      <w:smallCaps w:val="false"/>
                      <w:color w:val="auto"/>
                      <w:spacing w:val="0"/>
                      <w:sz w:val="20"/>
                      <w:szCs w:val="20"/>
                      <w:u w:val="single"/>
                    </w:rPr>
                  </w:pPr>
                  <w:r>
                    <w:rPr>
                      <w:b w:val="false"/>
                      <w:i w:val="false"/>
                      <w:caps w:val="false"/>
                      <w:smallCaps w:val="false"/>
                      <w:color w:val="auto"/>
                      <w:spacing w:val="0"/>
                      <w:sz w:val="20"/>
                      <w:szCs w:val="20"/>
                      <w:u w:val="single"/>
                    </w:rPr>
                    <w:t>Aula | quarta-tarde</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Objetivos da Palestra:</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Esclarecer o processo de julgamento das contas municipais pelo Tribunal de Contas (TCE).</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Explicar o mecanismo legal para reversão de parecer do TCE por 2/3 da Câmara Municipal.</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Orientar obre os requisitos, prazos e riscos jurídicos ao decretar a reversão.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Apresentar casos práticos e jurisprudência sobre o tema</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1-O Processo de Prestação de Contas Municipais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Fluxo das contas anuais: envio ao TCE, análise técnica e parecer prévio.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Tipos de irregularidades mais comuns: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Improbidade administrativa</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Desvio de finalidade</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Falta de documentação comprobatória</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Consequências de rejeição das contas: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Multas, inelegibilidade e ações judiciais.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2. O Papel da Câmara Municipal no Julgamento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Competência do Legislativo (Art. 31, §2º da CF/88 e legislação estadual).</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Parecer do TCE x Decisão da Câmara: diferenças e hierarquia.</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Quórum necessário para aprovação ou rejeição (maioria simples x 2/3)</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Forma de encaminhamento dos Processos eletrônicos conforme Resolução TCE-RS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Prazo para Julgamento das Contas conforme Resolução TCE/RS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Prazo para enviar a decisão do Julgamento das Contas (Resolução TCE-RS), novo entendimento.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Organização e Controle do Retorno e encaminhamento para a Internet TCE pelo setor de Acompanhamento e Cumprimento de Decisão (SEADE)</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 importância do Julgamento das Contas do Prefeito x Titulo Executivo extra judicial emitido pelo TCE-RS.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3. Decreto de Reversão por 2/3: Quando e Como Usar?</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Fundamento legal:</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Constituição Federal (Art. 31, §3º) e leis estaduais específicas.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Requisitos para reversão: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Votação nominal e o Registro anexo ao Decreto de julgamento.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Justificativa técnica e jurídica robusta.</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Riscos e controvérsias: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Possibilidade de questionamento no Judiciário ou pelo Ministério Público.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Casos em que o TCE mantém seu parecer mesmo após reversão.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4. Casos Práticos e Estratégias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Análise de decisões do STF e TCEs sobre reversões aprovadas por Câmaras.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Passo a passo para elaboração do decreto legislativo de reversão.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Como evitar erros processuais: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Prazo para votação após parecer do TCE.</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Documentação necessária para embasar a decisão.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 EXERCÍCIO DO CONTROLE EXTERNO NA ESFERA MUNICIPAL.</w:t>
                  </w:r>
                </w:p>
                <w:p>
                  <w:pPr>
                    <w:pStyle w:val="Normal"/>
                    <w:spacing w:lineRule="auto" w:line="276"/>
                    <w:jc w:val="both"/>
                    <w:rPr>
                      <w:rFonts w:ascii="Times New Roman" w:hAnsi="Times New Roman"/>
                      <w:b w:val="false"/>
                      <w:i w:val="false"/>
                      <w:i w:val="false"/>
                      <w:caps w:val="false"/>
                      <w:smallCaps w:val="false"/>
                      <w:color w:val="auto"/>
                      <w:spacing w:val="0"/>
                      <w:sz w:val="20"/>
                      <w:szCs w:val="20"/>
                      <w:u w:val="single"/>
                    </w:rPr>
                  </w:pPr>
                  <w:r>
                    <w:rPr>
                      <w:b w:val="false"/>
                      <w:i w:val="false"/>
                      <w:caps w:val="false"/>
                      <w:smallCaps w:val="false"/>
                      <w:color w:val="auto"/>
                      <w:spacing w:val="0"/>
                      <w:sz w:val="20"/>
                      <w:szCs w:val="20"/>
                      <w:u w:val="single"/>
                    </w:rPr>
                    <w:t>Aula|quinta-manhã</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 EXERCÍCIO DO CONTROLE EXTERNO NA ESFERA MUNICIPAL.</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PAPEL CONSTITUCIONAL DAS CÂMARAS MUNICIPAIS NO CONTROLE EXTERNO (CF/88, ART. 31 E ART. 70 A 75)</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ATRIBUIÇÕES DO TRIBUNAL DE CONTAS DOS MUNICÍPIOS DO ESTADO DO PARÁ (TCE-RS).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JULGAMENTO DAS CONTAS DO PREFEITO PELO PODER LEGISLATIVO. REQUISITOS DO DECRETO LEGISALTIVO.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PRINCÍPIOS E REGRAS PARA A OCUPAÇÃO DE CARGOS, EMPREGOS E FUNÇÕES PÚBLICAS.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FUNÇÕES DE CONFIANÇA, CARGO EFETIVO, E OS CARGOS EM COMISSÃO;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REMUNERAÇÃO E O SUBSÍDIO DOS OCUPANTES DE CARGOS, FUNÇÕES E EMPREGOS PÚBLICOS DA ADMINISTRAÇÃO;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JURISPRUDÊNCIA STF SOBRE ACUMULAÇÃO DE CARGOS PÚLBLICOS E LIMITAÇÃO DA JIRNADA;</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TRANSPARÊNCIA NOS JULGAMENTOS DAS CONTAS DOS PREFEITOS NO PORTAL DO TCE-RS;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DIFERENÇA ENTRE CONTROLE INTERNO, EXTERNO E SOCIAL;</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FERRAMENTAS DE FISCALIZAÇÃO E ATUAÇÃO PARLAMENTAR.</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PORTAL DA TRANSPARÊNCIA: O QUE VERIFICAR? ITENS OBRIGATÓRIOS CONFORME A LEI COMPLEMENTAR 131/2009 E A CARTILHA “ACESSO À INFORMAÇÃO NA PRÁTICA” (TCE-RS). EXEMPLOS PRÁTICOS DE BOAS E MÁS PRÁTICAS DE PORTAIS NO ESTADO DO RIO GRANDE DO SUL;</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FISCALIZAÇÃO DE OBRAS E CONTRATOS;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ATOS DE PESSOAL E DESPESA COM FOLHA.</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Inteligência Artificial Aplicada ao Trabalho do poder público</w:t>
                  </w:r>
                </w:p>
                <w:p>
                  <w:pPr>
                    <w:pStyle w:val="Normal"/>
                    <w:spacing w:lineRule="auto" w:line="276"/>
                    <w:jc w:val="both"/>
                    <w:rPr>
                      <w:rFonts w:ascii="Times New Roman" w:hAnsi="Times New Roman"/>
                      <w:b w:val="false"/>
                      <w:i w:val="false"/>
                      <w:i w:val="false"/>
                      <w:caps w:val="false"/>
                      <w:smallCaps w:val="false"/>
                      <w:color w:val="auto"/>
                      <w:spacing w:val="0"/>
                      <w:sz w:val="20"/>
                      <w:szCs w:val="20"/>
                      <w:u w:val="single"/>
                    </w:rPr>
                  </w:pPr>
                  <w:r>
                    <w:rPr>
                      <w:b w:val="false"/>
                      <w:i w:val="false"/>
                      <w:caps w:val="false"/>
                      <w:smallCaps w:val="false"/>
                      <w:color w:val="auto"/>
                      <w:spacing w:val="0"/>
                      <w:sz w:val="20"/>
                      <w:szCs w:val="20"/>
                      <w:u w:val="single"/>
                    </w:rPr>
                    <w:t>Aula | quinta-tarde</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Correção Ortográfica e Padronização: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Uso da Inteligência Artificial (IA) para detectar erros gramaticais e padronizar termos em documentos oficiais.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Detecção de Inconsistências Formais: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Técnicas para utilizar o ChatGPT na identificação de cláusulas conflitantes, referências desatualizadas e omissões em documentos legislativos.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Comparação de Versões: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Como gerar automaticamente resumos das alterações feitas em minutas e destacar seus impactos no conteúdo final.</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Elaboração de Pareceres e Relatórios: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Estrutura padronizada de pareceres legislativos (introdução, análise técnica/jurídica e conclusões) com apoio da IA para pesquisa normativa e aprimoramento do texto.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Identificação de Falhas em Editais e Documentos: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Criação de prompts específicos para verificar elementos obrigatórios, identificar vícios, ambiguidades e gerar relatórios sintéticos com sugestões corretivas antes da publicação.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Análise de Planilhas Orçamentárias e Financeiras:</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Aplicação da IA para detectar desvios, erros de cálculo e extrair insights rápidos sobre orçamentos municipais, com integração prática ao Excel/Google Sheets.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Oficina de Prompt Engineering Aplicado ao Legislativo:</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Prática em criação e refinamento de prompts para análise legislativa, como revisão de constitucionalidade, editais e relatórios de CPI.</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Boas Práticas, Ética e Governança:</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Orientações sobre transparência, responsabilidade e segurança jurídica no uso da IA, incluindo cuidados com a LGPD, importância da validação humana e recomendações para políticas internas.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LEI DE ACESSO À INFORMAÇÃO (LAI) E LEI GERAL DE PROTEÇÃO DE DADOS (LGPD) NO PODER PÚBLICO – CAUTELAS, DESAFIOS E OPORTUNIDADES DE MELHORIAS:</w:t>
                  </w:r>
                </w:p>
                <w:p>
                  <w:pPr>
                    <w:pStyle w:val="Normal"/>
                    <w:spacing w:lineRule="auto" w:line="276"/>
                    <w:jc w:val="both"/>
                    <w:rPr>
                      <w:rFonts w:ascii="Times New Roman" w:hAnsi="Times New Roman"/>
                      <w:b w:val="false"/>
                      <w:i w:val="false"/>
                      <w:i w:val="false"/>
                      <w:caps w:val="false"/>
                      <w:smallCaps w:val="false"/>
                      <w:color w:val="auto"/>
                      <w:spacing w:val="0"/>
                      <w:sz w:val="20"/>
                      <w:szCs w:val="20"/>
                      <w:u w:val="single"/>
                    </w:rPr>
                  </w:pPr>
                  <w:r>
                    <w:rPr>
                      <w:b w:val="false"/>
                      <w:i w:val="false"/>
                      <w:caps w:val="false"/>
                      <w:smallCaps w:val="false"/>
                      <w:color w:val="auto"/>
                      <w:spacing w:val="0"/>
                      <w:sz w:val="20"/>
                      <w:szCs w:val="20"/>
                      <w:u w:val="single"/>
                    </w:rPr>
                    <w:t>Aula | sexta-manhã</w:t>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LEI DE ACESSO À INFORMAÇÃO (LAI) E LEI GERAL DE PROTEÇÃO DE DADOS (LGPD) NO PODER PÚBLICO – CAUTELAS, DESAFIOS E OPORTUNIDADES DE MELHORIAS: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EQUILÍBRIO ENTRE TRANSPARÊNCIA e PROTEÇÃO DE DADOS PESSOAIS NO PODER PÚBLICO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ABRANGÊNCIA DA LAI</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PRINCÍPIOS E DIRETRIZES DA LAI</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DEVERES DO ESTADO, DE ACORDO COM A LAI</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PRINCIPAIS CONCEITOS ESTABELECIDOS PELA LAI</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DIREITOS DE QUAISQUER INTERESSADOS ESTABELECIDOS PELA LAI</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INFORMAÇÕES MÍNIMAS A SEREM DIVULGADAS – TRANSPARÊNCIA ATIVA</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LOCAL DE FÁCIL ACESSO E SITE / PORTAL DA TRANSPARÊNCIA</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PEDIDOS DE ACESSO À INFORMAÇÃO – TRANSPARÊNCIA PASSIVA</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O QUE NÃO É UM PEDIDO DE ACESSO À INFORMAÇÃO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APONTAMENTOS DOS ÓRGÃO DE CONTROLE SOBRE O (DES)CUMPRIMENTO DA LEI DE ACESSO À INFORMAÇÃO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LGPD NO PODER PÚBLICO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Importância da efetiva implantação da LGPD nos Municípios;</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Novos conceitos estabelecidos pela LGPD.</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TRATAMENTO E COMPARTILHAMENTO DE DADOS PESSOAIS POR PESSOAS JURÍDICAS DE DIRETO PÚBLICO</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DIAGNÓSTICOS A SEREM REALIZADOS PARA A IMPLANTAÇÃO DA LGPD</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ETAPAS PARA A IMPLEMENTAÇÃO DA LGPD</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b w:val="false"/>
                      <w:i w:val="false"/>
                      <w:caps w:val="false"/>
                      <w:smallCaps w:val="false"/>
                      <w:color w:val="auto"/>
                      <w:spacing w:val="0"/>
                      <w:sz w:val="20"/>
                      <w:szCs w:val="20"/>
                    </w:rPr>
                    <w:t>PLANO DE AÇÃO PARA A IMPLANTAÇÃO DA LGPD</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01</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R$ 1.290,00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R$ 1.290,00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cs="Calibri" w:cstheme="minorHAnsi"/>
                      <w:highlight w:val="none"/>
                      <w:shd w:fill="auto" w:val="clear"/>
                    </w:rPr>
                  </w:pPr>
                  <w:r>
                    <w:rPr>
                      <w:rFonts w:eastAsia="Times New Roman" w:cs="Calibri" w:cstheme="minorHAnsi"/>
                      <w:b/>
                      <w:bCs/>
                      <w:sz w:val="24"/>
                      <w:szCs w:val="24"/>
                      <w:shd w:fill="auto" w:val="clear"/>
                    </w:rPr>
                    <w:t>Valor Total: R$ 1.290,00 (mil duzentos e noventa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R$ 1.290,00 (mil duzentos e noventa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4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17 de julho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20"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sz w:val="24"/>
                <w:szCs w:val="24"/>
              </w:rPr>
            </w:pPr>
            <w:r>
              <w:rPr>
                <w:rFonts w:eastAsia="Times New Roman" w:cs="Calibri" w:cstheme="minorHAnsi"/>
                <w:sz w:val="24"/>
                <w:szCs w:val="24"/>
              </w:rPr>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35/2025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spacing w:lineRule="auto" w:line="276"/>
        <w:jc w:val="both"/>
        <w:rPr/>
      </w:pPr>
      <w:r>
        <w:rPr>
          <w:rStyle w:val="Strong"/>
          <w:rFonts w:cs="Calibri" w:ascii="Times New Roman" w:hAnsi="Times New Roman" w:cstheme="minorHAnsi"/>
          <w:b w:val="false"/>
          <w:bCs w:val="false"/>
          <w:color w:val="000000"/>
          <w:sz w:val="24"/>
          <w:szCs w:val="24"/>
          <w:u w:val="none"/>
          <w:shd w:fill="auto" w:val="clear"/>
          <w:lang w:eastAsia="en-US"/>
        </w:rPr>
        <w:t>Trata-se de estudos preliminares referentes à contratação de empresa especializada em capacitação profissional para ministrar curso voltado à atualização e ao aperfeiçoamento técnico dos servidores públicos, com foco em temas como Inteligência Artificial no setor público, Técnica Legislativa, Controle Externo, Julgamento de Contas, LGPD e LAI, conforme previsto na Lei nº 14.133/2021.</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A contratação fundamenta-se na necessidade de constante capacitação dos servidores da Câmara Municipal de Três Passos, especialmente diante dos avanços tecnológicos e normativos que impactam diretamente a atuação legislativa, o exercício da fiscalização e a responsabilidade institucional sobre o uso de recursos públicos, elaboração normativa e transparência da gestão.</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A qualificação abordará, entre outros temas, o uso responsável de ferramentas de Inteligência Artificial no ambiente público, práticas legislativas conforme a Lei Complementar nº 95/1998, análise e julgamento das contas do Executivo com ênfase no decreto de reversão por dois terços, fundamentos e etapas de implantação da Lei Geral de Proteção de Dados (LGPD), bem como deveres e procedimentos previstos na Lei de Acesso à Informação (LAI).</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Destaca-se que a qualificação dos servidores resulta em maior eficiência administrativa, aprimoramento das rotinas legislativas, segurança jurídica nas decisões, transparência institucional e melhor prestação de serviços à comunidade.</w:t>
      </w:r>
    </w:p>
    <w:p>
      <w:pPr>
        <w:pStyle w:val="BodyText"/>
        <w:spacing w:lineRule="auto" w:line="276" w:before="0" w:after="0"/>
        <w:rPr>
          <w:rFonts w:ascii="Times New Roman" w:hAnsi="Times New Roman" w:cs="Calibri" w:cstheme="minorHAnsi"/>
          <w:color w:val="000000"/>
          <w:lang w:eastAsia="en-US"/>
        </w:rPr>
      </w:pPr>
      <w:r>
        <w:rPr>
          <w:rFonts w:cs="Calibri" w:ascii="Times New Roman" w:hAnsi="Times New Roman" w:cstheme="minorHAnsi"/>
          <w:color w:val="000000"/>
          <w:lang w:eastAsia="en-US"/>
        </w:rPr>
        <w:t>Dessa forma, a presente contratação visa atender à necessidade de capacitação de 01 (um) servidor, sendo ele:</w:t>
      </w:r>
    </w:p>
    <w:p>
      <w:pPr>
        <w:pStyle w:val="BodyText"/>
        <w:spacing w:lineRule="auto" w:line="276" w:before="0" w:after="283"/>
        <w:rPr>
          <w:rFonts w:ascii="Times New Roman" w:hAnsi="Times New Roman" w:cs="Calibri" w:cstheme="minorHAnsi"/>
          <w:color w:val="000000"/>
          <w:lang w:eastAsia="en-US"/>
        </w:rPr>
      </w:pPr>
      <w:r>
        <w:rPr>
          <w:rStyle w:val="Strong"/>
          <w:rFonts w:cs="Calibri" w:ascii="Times New Roman" w:hAnsi="Times New Roman" w:cstheme="minorHAnsi"/>
          <w:color w:val="000000"/>
          <w:lang w:eastAsia="en-US"/>
        </w:rPr>
        <w:t>Julia Kerber Alves</w:t>
      </w:r>
      <w:r>
        <w:rPr>
          <w:rFonts w:cs="Calibri" w:ascii="Times New Roman" w:hAnsi="Times New Roman" w:cstheme="minorHAnsi"/>
          <w:color w:val="000000"/>
          <w:lang w:eastAsia="en-US"/>
        </w:rPr>
        <w:t>.</w:t>
      </w:r>
    </w:p>
    <w:p>
      <w:pPr>
        <w:pStyle w:val="BodyText"/>
        <w:spacing w:lineRule="auto" w:line="276"/>
        <w:jc w:val="both"/>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Style w:val="Strong"/>
          <w:rFonts w:cs="Calibri" w:ascii="Times New Roman" w:hAnsi="Times New Roman" w:cstheme="minorHAnsi"/>
          <w:b w:val="false"/>
          <w:bCs w:val="false"/>
          <w:sz w:val="24"/>
          <w:szCs w:val="24"/>
        </w:rPr>
        <w:t>3.1.</w:t>
      </w:r>
      <w:r>
        <w:rPr>
          <w:rFonts w:cs="Calibri" w:ascii="Times New Roman" w:hAnsi="Times New Roman" w:cstheme="minorHAnsi"/>
          <w:b w:val="false"/>
          <w:bCs w:val="false"/>
          <w:sz w:val="24"/>
          <w:szCs w:val="24"/>
        </w:rPr>
        <w:t xml:space="preserve"> Os requisitos da contratação abrangem o seguinte:</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rPr>
        <w:t>3.1.1.</w:t>
      </w:r>
      <w:r>
        <w:rPr>
          <w:rFonts w:cs="Calibri" w:ascii="Times New Roman" w:hAnsi="Times New Roman" w:cstheme="minorHAnsi"/>
          <w:b w:val="false"/>
          <w:bCs w:val="false"/>
        </w:rPr>
        <w:t xml:space="preserve"> Conteúdo programático compatível com as necessidades de capacitação técnica dos servidores do Poder Legislativo, especialmente no que se refere à atuação institucional frente aos avanços tecnológicos, às exigências de transparência e controle da administração pública, à correta aplicação da técnica legislativa e ao uso ético e seguro de ferramentas de Inteligência Artificial. O curso deverá contemplar tópicos como:</w:t>
      </w:r>
    </w:p>
    <w:p>
      <w:pPr>
        <w:pStyle w:val="BodyText"/>
        <w:spacing w:lineRule="auto" w:line="276" w:before="0" w:after="0"/>
        <w:rPr>
          <w:rFonts w:ascii="Times New Roman" w:hAnsi="Times New Roman" w:cs="Calibri" w:cstheme="minorHAnsi"/>
        </w:rPr>
      </w:pPr>
      <w:r>
        <w:rPr>
          <w:rFonts w:cs="Calibri" w:ascii="Times New Roman" w:hAnsi="Times New Roman" w:cstheme="minorHAnsi"/>
          <w:b w:val="false"/>
          <w:bCs w:val="false"/>
        </w:rPr>
        <w:t xml:space="preserve">– </w:t>
      </w:r>
      <w:r>
        <w:rPr>
          <w:rFonts w:cs="Calibri" w:ascii="Times New Roman" w:hAnsi="Times New Roman" w:cstheme="minorHAnsi"/>
          <w:b w:val="false"/>
          <w:bCs w:val="false"/>
        </w:rPr>
        <w:t>aplicações práticas da Inteligência Artificial Generativa no setor público;</w:t>
      </w:r>
    </w:p>
    <w:p>
      <w:pPr>
        <w:pStyle w:val="BodyText"/>
        <w:spacing w:lineRule="auto" w:line="276" w:before="0" w:after="0"/>
        <w:rPr>
          <w:rFonts w:ascii="Times New Roman" w:hAnsi="Times New Roman" w:cs="Calibri" w:cstheme="minorHAnsi"/>
        </w:rPr>
      </w:pPr>
      <w:r>
        <w:rPr>
          <w:rFonts w:cs="Calibri" w:ascii="Times New Roman" w:hAnsi="Times New Roman" w:cstheme="minorHAnsi"/>
          <w:b w:val="false"/>
          <w:bCs w:val="false"/>
        </w:rPr>
        <w:t xml:space="preserve">– </w:t>
      </w:r>
      <w:r>
        <w:rPr>
          <w:rFonts w:cs="Calibri" w:ascii="Times New Roman" w:hAnsi="Times New Roman" w:cstheme="minorHAnsi"/>
          <w:b w:val="false"/>
          <w:bCs w:val="false"/>
        </w:rPr>
        <w:t>técnica legislativa e redação normativa conforme a Lei Complementar nº 95/1998;</w:t>
        <w:br/>
        <w:t>– julgamento de contas e decreto legislativo de reversão por 2/3;</w:t>
      </w:r>
    </w:p>
    <w:p>
      <w:pPr>
        <w:pStyle w:val="BodyText"/>
        <w:spacing w:lineRule="auto" w:line="276" w:before="0" w:after="0"/>
        <w:rPr>
          <w:rFonts w:ascii="Times New Roman" w:hAnsi="Times New Roman" w:cs="Calibri" w:cstheme="minorHAnsi"/>
        </w:rPr>
      </w:pPr>
      <w:r>
        <w:rPr>
          <w:rFonts w:cs="Calibri" w:ascii="Times New Roman" w:hAnsi="Times New Roman" w:cstheme="minorHAnsi"/>
          <w:b w:val="false"/>
          <w:bCs w:val="false"/>
        </w:rPr>
        <w:t xml:space="preserve">– </w:t>
      </w:r>
      <w:r>
        <w:rPr>
          <w:rFonts w:cs="Calibri" w:ascii="Times New Roman" w:hAnsi="Times New Roman" w:cstheme="minorHAnsi"/>
          <w:b w:val="false"/>
          <w:bCs w:val="false"/>
        </w:rPr>
        <w:t>exercício do controle externo na esfera municipal;</w:t>
      </w:r>
    </w:p>
    <w:p>
      <w:pPr>
        <w:pStyle w:val="BodyText"/>
        <w:spacing w:lineRule="auto" w:line="276" w:before="0" w:after="0"/>
        <w:rPr>
          <w:rFonts w:ascii="Times New Roman" w:hAnsi="Times New Roman" w:cs="Calibri" w:cstheme="minorHAnsi"/>
        </w:rPr>
      </w:pPr>
      <w:r>
        <w:rPr>
          <w:rFonts w:cs="Calibri" w:ascii="Times New Roman" w:hAnsi="Times New Roman" w:cstheme="minorHAnsi"/>
          <w:b w:val="false"/>
          <w:bCs w:val="false"/>
        </w:rPr>
        <w:t xml:space="preserve">– </w:t>
      </w:r>
      <w:r>
        <w:rPr>
          <w:rFonts w:cs="Calibri" w:ascii="Times New Roman" w:hAnsi="Times New Roman" w:cstheme="minorHAnsi"/>
          <w:b w:val="false"/>
          <w:bCs w:val="false"/>
        </w:rPr>
        <w:t>boas práticas de fiscalização de atos, contratos e portais de transparência;</w:t>
      </w:r>
    </w:p>
    <w:p>
      <w:pPr>
        <w:pStyle w:val="BodyText"/>
        <w:spacing w:lineRule="auto" w:line="276" w:before="0" w:after="0"/>
        <w:rPr>
          <w:rFonts w:ascii="Times New Roman" w:hAnsi="Times New Roman" w:cs="Calibri" w:cstheme="minorHAnsi"/>
        </w:rPr>
      </w:pPr>
      <w:r>
        <w:rPr>
          <w:rFonts w:cs="Calibri" w:ascii="Times New Roman" w:hAnsi="Times New Roman" w:cstheme="minorHAnsi"/>
          <w:b w:val="false"/>
          <w:bCs w:val="false"/>
        </w:rPr>
        <w:t xml:space="preserve">– </w:t>
      </w:r>
      <w:r>
        <w:rPr>
          <w:rFonts w:cs="Calibri" w:ascii="Times New Roman" w:hAnsi="Times New Roman" w:cstheme="minorHAnsi"/>
          <w:b w:val="false"/>
          <w:bCs w:val="false"/>
        </w:rPr>
        <w:t>fundamentos e estratégias para implantação da LGPD e cumprimento da LAI.</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rPr>
        <w:t>3.1.2.</w:t>
      </w:r>
      <w:r>
        <w:rPr>
          <w:rFonts w:cs="Calibri" w:ascii="Times New Roman" w:hAnsi="Times New Roman" w:cstheme="minorHAnsi"/>
        </w:rPr>
        <w:t xml:space="preserve"> O curso deverá proporcionar abordagem teórica e prática, com participação ativa dos inscritos, possibilitando a aplicação dos conhecimentos à realidade do legislativo municipal, o esclarecimento de dúvidas e a análise de casos concretos. A proposta pedagógica deverá privilegiar o desenvolvimento de competências voltadas à modernização dos processos legislativos e administrativos, à atuação fiscalizatória e à tomada de decisão baseada em dados.</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rPr>
        <w:t>3.1.3.</w:t>
      </w:r>
      <w:r>
        <w:rPr>
          <w:rFonts w:cs="Calibri" w:ascii="Times New Roman" w:hAnsi="Times New Roman" w:cstheme="minorHAnsi"/>
        </w:rPr>
        <w:t xml:space="preserve"> O curso deverá ser ministrado por profissional ou empresa com notória especialização nas áreas de Direito Público, Controle Externo, Técnica Legislativa, Transparência, Proteção de Dados e uso de tecnologias emergentes na Administração Pública.</w:t>
      </w:r>
    </w:p>
    <w:p>
      <w:pPr>
        <w:pStyle w:val="BodyText"/>
        <w:spacing w:lineRule="auto" w:line="276" w:before="0" w:after="283"/>
        <w:rPr>
          <w:rFonts w:ascii="Times New Roman" w:hAnsi="Times New Roman" w:cs="Calibri" w:cstheme="minorHAnsi"/>
        </w:rPr>
      </w:pPr>
      <w:r>
        <w:rPr>
          <w:rStyle w:val="Strong"/>
          <w:rFonts w:cs="Calibri" w:ascii="Times New Roman" w:hAnsi="Times New Roman" w:cstheme="minorHAnsi"/>
        </w:rPr>
        <w:t>3.1.4.</w:t>
      </w:r>
      <w:r>
        <w:rPr>
          <w:rFonts w:cs="Calibri" w:ascii="Times New Roman" w:hAnsi="Times New Roman" w:cstheme="minorHAnsi"/>
        </w:rPr>
        <w:t xml:space="preserve"> Não será permitida a subcontratação do objeto contratual.</w:t>
      </w:r>
    </w:p>
    <w:p>
      <w:pPr>
        <w:pStyle w:val="BodyText"/>
        <w:spacing w:lineRule="auto" w:line="276" w:before="0" w:after="0"/>
        <w:rPr>
          <w:rFonts w:ascii="Times New Roman" w:hAnsi="Times New Roman" w:cs="Calibri" w:cstheme="minorHAnsi"/>
        </w:rPr>
      </w:pPr>
      <w:r>
        <w:rPr>
          <w:rFonts w:cs="Calibri" w:cstheme="minorHAnsi" w:ascii="Times New Roman" w:hAnsi="Times New Roman"/>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servidores: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430"/>
        <w:gridCol w:w="1200"/>
        <w:gridCol w:w="2836"/>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43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2836"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 SERVIDOR</w:t>
            </w:r>
          </w:p>
        </w:tc>
      </w:tr>
      <w:tr>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43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no curso </w:t>
            </w:r>
            <w:r>
              <w:rPr>
                <w:rStyle w:val="Fontepargpadro"/>
                <w:rFonts w:eastAsia="Calibri" w:cs="Times New Roman"/>
                <w:b w:val="false"/>
                <w:bCs w:val="false"/>
                <w:i w:val="false"/>
                <w:iCs w:val="false"/>
                <w:color w:val="000000"/>
                <w:w w:val="115"/>
                <w:kern w:val="0"/>
                <w:sz w:val="20"/>
                <w:szCs w:val="20"/>
                <w:u w:val="none"/>
                <w:shd w:fill="auto" w:val="clear"/>
                <w:lang w:val="pt-BR" w:eastAsia="ar-SA" w:bidi="ar-SA"/>
              </w:rPr>
              <w:t>Assessoria e Vereança Eficientes: Gestão Documental, Redação Legislativa, Produtividade, Trabalho em Equipe e Desenvolvimento Contínuo</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1</w:t>
            </w:r>
          </w:p>
        </w:tc>
        <w:tc>
          <w:tcPr>
            <w:tcW w:w="2836" w:type="dxa"/>
            <w:tcBorders/>
          </w:tcPr>
          <w:p>
            <w:pPr>
              <w:pStyle w:val="Normal"/>
              <w:widowControl/>
              <w:suppressAutoHyphens w:val="true"/>
              <w:spacing w:lineRule="auto" w:line="276" w:before="0" w:after="0"/>
              <w:jc w:val="center"/>
              <w:rPr>
                <w:rFonts w:cs="Calibri" w:cstheme="minorHAnsi"/>
                <w:highlight w:val="none"/>
                <w:shd w:fill="auto" w:val="clear"/>
              </w:rPr>
            </w:pPr>
            <w:r>
              <w:rPr>
                <w:rFonts w:cs="Calibri" w:cstheme="minorHAnsi"/>
                <w:sz w:val="20"/>
                <w:szCs w:val="20"/>
                <w:shd w:fill="auto" w:val="clear"/>
              </w:rPr>
              <w:t>Julia Kerber Alves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I. Contratação de empresa do ramo pertinente para participação de servidor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II. Contratação de empresa do ramo pertinente para realização do curso in company sobre “</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cs="Calibri"/>
          <w:b w:val="false"/>
          <w:bCs w:val="false"/>
          <w:strike w:val="false"/>
          <w:dstrike w:val="false"/>
          <w:color w:val="000000"/>
          <w:sz w:val="24"/>
          <w:szCs w:val="24"/>
          <w:u w:val="none"/>
          <w:effect w:val="none"/>
          <w:shd w:fill="auto" w:val="clear"/>
          <w:lang w:eastAsia="en-US"/>
        </w:rPr>
        <w:t>” no município de Três Passos-RS, para os servidores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r>
    </w:p>
    <w:p>
      <w:pPr>
        <w:pStyle w:val="Normal"/>
        <w:spacing w:lineRule="auto" w:line="276"/>
        <w:jc w:val="both"/>
        <w:rPr/>
      </w:pPr>
      <w:r>
        <w:rPr>
          <w:rFonts w:cs="Calibri" w:cstheme="minorHAnsi"/>
          <w:sz w:val="24"/>
          <w:szCs w:val="24"/>
        </w:rPr>
        <w:t xml:space="preserve">6.2. </w:t>
      </w:r>
      <w:r>
        <w:rPr/>
        <w:t xml:space="preserve">O custo estimado total da contratação é de </w:t>
      </w:r>
      <w:r>
        <w:rPr>
          <w:rStyle w:val="Strong"/>
        </w:rPr>
        <w:t>R$ 1.</w:t>
      </w:r>
      <w:r>
        <w:rPr>
          <w:rStyle w:val="Strong"/>
        </w:rPr>
        <w:t>290</w:t>
      </w:r>
      <w:r>
        <w:rPr>
          <w:rStyle w:val="Strong"/>
        </w:rPr>
        <w:t xml:space="preserve">,00 (mil, </w:t>
      </w:r>
      <w:r>
        <w:rPr>
          <w:rStyle w:val="Strong"/>
        </w:rPr>
        <w:t>duzentos e noventa reais)</w:t>
      </w:r>
      <w:r>
        <w:rPr/>
        <w:t>, referente à realização do curso “</w:t>
      </w:r>
      <w:r>
        <w:rPr>
          <w:rStyle w:val="Fontepargpadro"/>
          <w:rFonts w:eastAsia="Calibri" w:cs="Times New Roman"/>
          <w:b w:val="false"/>
          <w:bCs w:val="false"/>
          <w:i w:val="false"/>
          <w:iCs w:val="false"/>
          <w:caps w:val="false"/>
          <w:smallCaps w:val="false"/>
          <w:color w:val="000000"/>
          <w:spacing w:val="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t>.” em formato presencial no município de Porto Alegre-RS.</w:t>
      </w:r>
    </w:p>
    <w:p>
      <w:pPr>
        <w:pStyle w:val="Normal"/>
        <w:spacing w:lineRule="auto" w:line="276"/>
        <w:jc w:val="both"/>
        <w:rPr>
          <w:b w:val="false"/>
          <w:bCs w:val="false"/>
        </w:rPr>
      </w:pPr>
      <w:r>
        <w:rPr>
          <w:b w:val="false"/>
          <w:bCs w:val="false"/>
          <w:shd w:fill="auto" w:val="clear"/>
        </w:rPr>
        <w:t xml:space="preserve">6.3. A Empresa Contratada comprovou por meio de documentos que o preço praticado encontra-se dentro do valor do mercado, conforme notas fiscais dos Municípios de </w:t>
      </w:r>
      <w:r>
        <w:rPr>
          <w:b w:val="false"/>
          <w:bCs w:val="false"/>
          <w:shd w:fill="auto" w:val="clear"/>
        </w:rPr>
        <w:t>Bom Jesus do Oeste/SC</w:t>
      </w:r>
      <w:r>
        <w:rPr>
          <w:b w:val="false"/>
          <w:bCs w:val="false"/>
          <w:shd w:fill="auto" w:val="clear"/>
        </w:rPr>
        <w:t xml:space="preserve">, </w:t>
      </w:r>
      <w:r>
        <w:rPr>
          <w:b w:val="false"/>
          <w:bCs w:val="false"/>
          <w:shd w:fill="auto" w:val="clear"/>
        </w:rPr>
        <w:t>Jari</w:t>
      </w:r>
      <w:r>
        <w:rPr>
          <w:b w:val="false"/>
          <w:bCs w:val="false"/>
          <w:shd w:fill="auto" w:val="clear"/>
        </w:rPr>
        <w:t xml:space="preserve">/RS e </w:t>
      </w:r>
      <w:r>
        <w:rPr>
          <w:b w:val="false"/>
          <w:bCs w:val="false"/>
          <w:shd w:fill="auto" w:val="clear"/>
        </w:rPr>
        <w:t>Bom Jesus</w:t>
      </w:r>
      <w:r>
        <w:rPr>
          <w:b w:val="false"/>
          <w:bCs w:val="false"/>
          <w:shd w:fill="auto" w:val="clear"/>
        </w:rPr>
        <w:t>/RS, anexas ao processo.</w:t>
      </w:r>
    </w:p>
    <w:p>
      <w:pPr>
        <w:pStyle w:val="Normal"/>
        <w:spacing w:lineRule="auto" w:line="276" w:before="57" w:after="57"/>
        <w:jc w:val="both"/>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7.1 7.1 </w:t>
      </w:r>
      <w:r>
        <w:rPr>
          <w:rStyle w:val="Fontepargpadro"/>
          <w:rFonts w:cs="Calibri" w:cstheme="minorHAnsi"/>
          <w:b w:val="false"/>
          <w:bCs w:val="false"/>
          <w:sz w:val="24"/>
          <w:szCs w:val="24"/>
          <w:lang w:eastAsia="en-US"/>
        </w:rPr>
        <w:t xml:space="preserve">Para a presente contratação, optou-se pela realização de curso presencial ministrado no município de Porto Alegre-RS, com o objetivo de capacitar os servidores da Câmara Municipal no tema </w:t>
      </w:r>
      <w:r>
        <w:rPr>
          <w:rStyle w:val="Fontepargpadro"/>
          <w:rFonts w:cs="Times New Roman"/>
          <w:b w:val="false"/>
          <w:bCs w:val="false"/>
          <w:sz w:val="24"/>
          <w:szCs w:val="24"/>
          <w:lang w:eastAsia="en-US"/>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cs="Times New Roman"/>
          <w:b w:val="false"/>
          <w:bCs w:val="false"/>
          <w:color w:val="auto"/>
          <w:sz w:val="24"/>
          <w:szCs w:val="24"/>
          <w:u w:val="none"/>
          <w:lang w:val="pt-BR" w:eastAsia="ar-SA" w:bidi="ar-SA"/>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por 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rFonts w:ascii="Times New Roman" w:hAnsi="Times New Roman" w:cs="Calibri" w:cstheme="minorHAnsi"/>
          <w:lang w:eastAsia="en-US"/>
        </w:rPr>
      </w:pPr>
      <w:r>
        <w:rPr>
          <w:rFonts w:cs="Calibri" w:cstheme="minorHAnsi" w:ascii="Times New Roman" w:hAnsi="Times New Roman"/>
          <w:b w:val="false"/>
          <w:bCs w:val="false"/>
          <w:sz w:val="24"/>
          <w:szCs w:val="24"/>
          <w:lang w:eastAsia="en-US"/>
        </w:rPr>
        <w:t xml:space="preserve">7.5. </w:t>
      </w:r>
      <w:r>
        <w:rPr>
          <w:rFonts w:cs="Calibri" w:cstheme="minorHAnsi" w:ascii="Times New Roman" w:hAnsi="Times New Roman"/>
          <w:lang w:eastAsia="en-US"/>
        </w:rPr>
        <w:t>A escolha da instituição justifica</w:t>
        <w:noBreakHyphen/>
        <w:t>se pela excelência reconhecida em treinamentos e consultorias para o setor público, notadamente no Sul do Brasil, corroborada por quase duas décadas de atuação e ampla aprovação entre os seus clientes. O quadro técnico do INLEGIS reúne profissionais com profunda experiência em Direito Público, contabilidade pública e gestão administrativa aplicada à administração pública, garantindo alta qualidade nas soluções oferecidas.</w:t>
      </w:r>
    </w:p>
    <w:p>
      <w:pPr>
        <w:pStyle w:val="BodyText"/>
        <w:spacing w:lineRule="auto" w:line="276" w:before="57" w:after="57"/>
        <w:rPr>
          <w:rFonts w:ascii="Times New Roman" w:hAnsi="Times New Roman" w:cs="Calibri" w:cstheme="minorHAnsi"/>
          <w:lang w:eastAsia="en-US"/>
        </w:rPr>
      </w:pPr>
      <w:r>
        <w:rPr>
          <w:rFonts w:cs="Calibri" w:cstheme="minorHAnsi" w:ascii="Times New Roman" w:hAnsi="Times New Roman"/>
          <w:lang w:eastAsia="en-US"/>
        </w:rPr>
        <w:t>O INLEGIS dedica</w:t>
        <w:noBreakHyphen/>
        <w:t>se à produção e difusão de conhecimento técnico por meio de múltiplos formatos — cursos presenciais, in company, EAD, online e híbrido, além de podcasts, infográficos, modelos e vídeos instrucionais. Oferece também serviços especializados, incluindo atualização legislativa, consultoria organizacional, diagnósticos de gestão e elaboração de planos de ação estratégicos, alinhados às demandas da administração pública.</w:t>
      </w:r>
    </w:p>
    <w:p>
      <w:pPr>
        <w:pStyle w:val="BodyText"/>
        <w:spacing w:lineRule="auto" w:line="276" w:before="57" w:after="57"/>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01 (um)</w:t>
      </w:r>
      <w:r>
        <w:rPr>
          <w:rFonts w:cs="Calibri" w:cstheme="minorHAnsi"/>
          <w:color w:val="000000"/>
          <w:sz w:val="24"/>
          <w:szCs w:val="24"/>
          <w:shd w:fill="auto" w:val="clear"/>
        </w:rPr>
        <w:t xml:space="preserve"> servidor</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spacing w:lineRule="auto" w:line="276"/>
        <w:jc w:val="both"/>
        <w:rPr>
          <w:highlight w:val="none"/>
          <w:shd w:fill="FF8000" w:val="clear"/>
        </w:rPr>
      </w:pPr>
      <w:r>
        <w:rPr>
          <w:rStyle w:val="Hyperlink"/>
          <w:rFonts w:cs="Times New Roman" w:ascii="Times New Roman" w:hAnsi="Times New Roman"/>
          <w:color w:val="000000"/>
          <w:u w:val="none"/>
          <w:shd w:fill="auto" w:val="clear"/>
          <w:lang w:val="pt-BR" w:eastAsia="ar-SA" w:bidi="ar-SA"/>
        </w:rPr>
        <w:t>Pretende-se, com a presente contratação, promover a capacitação da servidora da Câmara Municipal de Três Passos, contribuindo para o aprimoramento técnico e institucional nas áreas de atuação legislativa, fiscalização, controle externo, transparência pública e uso responsável de novas tecnologias no setor público.</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Com base na programação do curso, que abrange temas como Inteligência Artificial Generativa no serviço público, Técnica Legislativa, Julgamento das Contas Municipais, Controle Externo, Lei de Acesso à Informação (LAI) e Lei Geral de Proteção de Dados (LGPD), espera-se o fortalecimento de competências voltadas à análise e elaboração de documentos legislativos, uso estratégico de IA para apoio à tomada de decisão, fiscalização de atos e contratos, compreensão das regras constitucionais sobre competências legislativas e aplicação de boas práticas de governança pública.</w:t>
      </w:r>
    </w:p>
    <w:p>
      <w:pPr>
        <w:pStyle w:val="BodyText"/>
        <w:spacing w:lineRule="auto" w:line="276" w:before="0" w:after="0"/>
        <w:rPr>
          <w:rFonts w:ascii="Times New Roman" w:hAnsi="Times New Roman" w:cs="Times New Roman"/>
          <w:color w:val="000000"/>
          <w:lang w:eastAsia="ar-SA"/>
        </w:rPr>
      </w:pPr>
      <w:r>
        <w:rPr>
          <w:rFonts w:cs="Times New Roman" w:ascii="Times New Roman" w:hAnsi="Times New Roman"/>
          <w:color w:val="000000"/>
          <w:lang w:eastAsia="ar-SA"/>
        </w:rPr>
        <w:t>Além disso, almeja-se estimular a troca de experiências com outros agentes públicos e especialistas da área, favorecendo a consolidação de boas práticas, o aprimoramento das rotinas administrativas e o domínio de ferramentas que ampliam a eficiência e a segurança jurídica das atividades parlamentares.</w:t>
      </w:r>
    </w:p>
    <w:p>
      <w:pPr>
        <w:pStyle w:val="BodyText"/>
        <w:spacing w:lineRule="auto" w:line="276" w:before="0" w:after="283"/>
        <w:rPr>
          <w:rFonts w:ascii="Times New Roman" w:hAnsi="Times New Roman" w:cs="Times New Roman"/>
          <w:color w:val="000000"/>
          <w:lang w:eastAsia="ar-SA"/>
        </w:rPr>
      </w:pPr>
      <w:r>
        <w:rPr>
          <w:rFonts w:cs="Times New Roman" w:ascii="Times New Roman" w:hAnsi="Times New Roman"/>
          <w:color w:val="000000"/>
          <w:lang w:eastAsia="ar-SA"/>
        </w:rPr>
        <w:t>Como resultado, espera-se uma atuação mais qualificada, inovadora e segura da servidora envolvida, com reflexos positivos na eficiência da gestão legislativa, na conformidade legal dos procedimentos internos, na ampliação da transparência institucional e na proteção do interesse público.</w:t>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rPr>
      </w:pPr>
      <w:r>
        <w:rPr>
          <w:rFonts w:cs="Calibri" w:cstheme="minorHAnsi"/>
          <w:b w:val="false"/>
          <w:bCs w:val="false"/>
          <w:color w:val="000000"/>
          <w:sz w:val="24"/>
          <w:szCs w:val="24"/>
          <w:shd w:fill="auto" w:val="clear"/>
        </w:rPr>
        <w:t xml:space="preserve">Deverá ser providenciado o pagamento de diárias ao servidor,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54" w:afterAutospacing="0" w:after="54"/>
        <w:jc w:val="both"/>
        <w:rPr>
          <w:rFonts w:cs="Calibri" w:cstheme="minorHAnsi"/>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54" w:afterAutospacing="0" w:after="54"/>
        <w:jc w:val="both"/>
        <w:rPr>
          <w:rFonts w:cs="Calibri" w:cstheme="minorHAnsi"/>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17/07/2025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35</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864"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curso  “</w:t>
            </w:r>
            <w:r>
              <w:rPr>
                <w:rStyle w:val="Fontepargpadro"/>
                <w:rFonts w:eastAsia="Calibri" w:cs="Times New Roman"/>
                <w:b w:val="false"/>
                <w:bCs w:val="false"/>
                <w:i w:val="false"/>
                <w:iCs w:val="false"/>
                <w:color w:val="000000"/>
                <w:w w:val="115"/>
                <w:kern w:val="0"/>
                <w:sz w:val="20"/>
                <w:szCs w:val="20"/>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0"/>
                <w:szCs w:val="20"/>
                <w:u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01</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29 de julho a 1° de agosto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01 (um) servidor.</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servidores da Câmara Municipal de Três Passos-RS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Style w:val="Fontepargpadro"/>
          <w:rFonts w:cs="Calibri" w:cstheme="minorHAnsi"/>
          <w:color w:val="auto"/>
          <w:sz w:val="24"/>
          <w:szCs w:val="24"/>
          <w:u w:val="none"/>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BodyText"/>
        <w:spacing w:lineRule="auto" w:line="276"/>
        <w:jc w:val="both"/>
        <w:rPr>
          <w:rFonts w:ascii="Times New Roman" w:hAnsi="Times New Roman" w:cs="Calibri" w:cstheme="minorHAnsi"/>
          <w:sz w:val="24"/>
          <w:szCs w:val="24"/>
        </w:rPr>
      </w:pPr>
      <w:r>
        <w:rPr>
          <w:rStyle w:val="Strong"/>
          <w:rFonts w:cs="Calibri" w:ascii="Times New Roman" w:hAnsi="Times New Roman" w:cstheme="minorHAnsi"/>
          <w:b w:val="false"/>
          <w:bCs w:val="false"/>
          <w:sz w:val="24"/>
          <w:szCs w:val="24"/>
        </w:rPr>
        <w:t>4.1.</w:t>
      </w:r>
      <w:r>
        <w:rPr>
          <w:rFonts w:cs="Calibri" w:ascii="Times New Roman" w:hAnsi="Times New Roman" w:cstheme="minorHAnsi"/>
          <w:b w:val="false"/>
          <w:bCs w:val="false"/>
          <w:sz w:val="24"/>
          <w:szCs w:val="24"/>
        </w:rPr>
        <w:t xml:space="preserve"> Os requisitos da contratação abrangem o seguinte:</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rPr>
        <w:t>4.1.1.</w:t>
      </w:r>
      <w:r>
        <w:rPr>
          <w:rFonts w:cs="Calibri" w:ascii="Times New Roman" w:hAnsi="Times New Roman" w:cstheme="minorHAnsi"/>
          <w:b w:val="false"/>
          <w:bCs w:val="false"/>
        </w:rPr>
        <w:t xml:space="preserve"> Conteúdo programático do curso compatível com as necessidades de capacitação da servidora no tocante ao aprimoramento das atividades legislativas, de fiscalização e de controle institucional, com ênfase em temas como: aplicações da Inteligência Artificial Generativa no serviço público; técnicas legislativas e estruturação normativa conforme a Lei Complementar nº 95/1998; julgamento das contas do Executivo municipal e decreto de reversão por 2/3; exercício do controle externo; fundamentos e estratégias para implementação da Lei Geral de Proteção de Dados (LGPD); e aplicação da Lei de Acesso à Informação (LAI). O curso deverá incluir também análise de casos concretos, ferramentas de apoio à fiscalização, uso prático de IA na revisão de documentos e elaboração de pareceres, bem como boas práticas de governança e transparência pública.</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rPr>
        <w:t>4.1.2.</w:t>
      </w:r>
      <w:r>
        <w:rPr>
          <w:rFonts w:cs="Calibri" w:ascii="Times New Roman" w:hAnsi="Times New Roman" w:cstheme="minorHAnsi"/>
        </w:rPr>
        <w:t xml:space="preserve"> Profissional ou empresa de notória especialização (</w:t>
      </w:r>
      <w:r>
        <w:rPr>
          <w:rStyle w:val="Strong"/>
          <w:rFonts w:cs="Calibri" w:ascii="Times New Roman" w:hAnsi="Times New Roman" w:cstheme="minorHAnsi"/>
        </w:rPr>
        <w:t>INLEGIS CONSULTORIA E TREINAMENTO LTDA – CNPJ: 30.050.141/0001-80</w:t>
      </w:r>
      <w:r>
        <w:rPr>
          <w:rFonts w:cs="Calibri" w:ascii="Times New Roman" w:hAnsi="Times New Roman" w:cstheme="minorHAnsi"/>
        </w:rPr>
        <w:t>), conforme currículo anexo.</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rPr>
        <w:t>4.1.3.</w:t>
      </w:r>
      <w:r>
        <w:rPr>
          <w:rFonts w:cs="Calibri" w:ascii="Times New Roman" w:hAnsi="Times New Roman" w:cstheme="minorHAnsi"/>
        </w:rPr>
        <w:t xml:space="preserve"> Não incidem critérios de sustentabilidade na presente contratação.</w:t>
      </w:r>
    </w:p>
    <w:p>
      <w:pPr>
        <w:pStyle w:val="BodyText"/>
        <w:spacing w:lineRule="auto" w:line="276" w:before="0" w:after="283"/>
        <w:rPr>
          <w:rFonts w:ascii="Times New Roman" w:hAnsi="Times New Roman" w:cs="Calibri" w:cstheme="minorHAnsi"/>
        </w:rPr>
      </w:pPr>
      <w:r>
        <w:rPr>
          <w:rStyle w:val="Strong"/>
          <w:rFonts w:cs="Calibri" w:ascii="Times New Roman" w:hAnsi="Times New Roman" w:cstheme="minorHAnsi"/>
        </w:rPr>
        <w:t>4.1.4.</w:t>
      </w:r>
      <w:r>
        <w:rPr>
          <w:rFonts w:cs="Calibri" w:ascii="Times New Roman" w:hAnsi="Times New Roman" w:cstheme="minorHAnsi"/>
        </w:rPr>
        <w:t xml:space="preserve"> Não é permitida a subcontratação do objeto contratual.</w:t>
      </w:r>
    </w:p>
    <w:p>
      <w:pPr>
        <w:pStyle w:val="BodyText"/>
        <w:spacing w:lineRule="auto" w:line="276" w:before="0" w:after="0"/>
        <w:rPr>
          <w:rFonts w:ascii="Times New Roman" w:hAnsi="Times New Roman" w:cs="Calibri" w:cstheme="minorHAnsi"/>
        </w:rPr>
      </w:pPr>
      <w:r>
        <w:rPr>
          <w:rFonts w:cs="Calibri" w:cstheme="minorHAnsi" w:ascii="Times New Roman" w:hAnsi="Times New Roman"/>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jc w:val="both"/>
        <w:rPr/>
      </w:pPr>
      <w:r>
        <w:rPr>
          <w:rFonts w:cs="Calibri" w:cstheme="minorHAnsi"/>
          <w:sz w:val="24"/>
          <w:szCs w:val="24"/>
        </w:rPr>
        <w:t xml:space="preserve">5.1. </w:t>
      </w:r>
      <w:r>
        <w:rPr>
          <w:color w:val="auto"/>
          <w:u w:val="none"/>
        </w:rPr>
        <w:t>O curso “</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color w:val="auto"/>
          <w:sz w:val="24"/>
          <w:szCs w:val="24"/>
          <w:u w:val="none"/>
          <w:lang w:val="pt-BR" w:eastAsia="ar-SA" w:bidi="ar-SA"/>
        </w:rPr>
        <w:t>”</w:t>
      </w:r>
      <w:r>
        <w:rPr>
          <w:rStyle w:val="Hyperlink"/>
          <w:color w:val="auto"/>
          <w:u w:val="none"/>
          <w:lang w:val="pt-BR" w:eastAsia="ar-SA" w:bidi="ar-SA"/>
        </w:rPr>
        <w:t>,</w:t>
      </w:r>
      <w:r>
        <w:rPr>
          <w:color w:val="auto"/>
          <w:u w:val="none"/>
        </w:rPr>
        <w:t xml:space="preserve"> será realizado de forma híbrida, assistido da cidade de Porto Alegre, no período de 29 de julho a 1° de agosto de 202</w:t>
      </w:r>
      <w:r>
        <w:rPr>
          <w:color w:val="000000"/>
          <w:u w:val="none"/>
          <w:shd w:fill="auto" w:val="clear"/>
        </w:rPr>
        <w:t>5.</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pPr>
      <w:r>
        <w:rPr>
          <w:rStyle w:val="Strong"/>
          <w:rFonts w:cs="Calibri" w:ascii="Times New Roman" w:hAnsi="Times New Roman" w:cstheme="minorHAnsi"/>
          <w:b/>
          <w:bCs/>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sz w:val="24"/>
          <w:szCs w:val="24"/>
        </w:rPr>
        <w:t>6.4.2.</w:t>
      </w:r>
      <w:r>
        <w:rPr>
          <w:rFonts w:cs="Calibri" w:ascii="Times New Roman" w:hAnsi="Times New Roman" w:cstheme="minorHAnsi"/>
          <w:b w:val="false"/>
          <w:bCs w:val="false"/>
          <w:sz w:val="24"/>
          <w:szCs w:val="24"/>
        </w:rPr>
        <w:t xml:space="preserve"> Estando tudo regular, será liberada a emissão da nota fiscal para pagamento.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R$ 1.290,00 (mil, duzentos e noventa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spacing w:lineRule="auto" w:line="276"/>
              <w:jc w:val="both"/>
              <w:rPr/>
            </w:pP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en-US" w:bidi="ar-SA"/>
              </w:rPr>
              <w:t>“</w:t>
            </w:r>
            <w:r>
              <w:rPr>
                <w:rStyle w:val="Fontepargpadro"/>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strike w:val="false"/>
                <w:dstrike w:val="false"/>
                <w:outline w:val="false"/>
                <w:shadow w:val="false"/>
                <w:color w:val="00000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29 de julho a 1° de agosto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01</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R$1.290,00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R$ 1.290,00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b/>
                <w:bCs/>
                <w:sz w:val="24"/>
                <w:szCs w:val="24"/>
                <w:shd w:fill="auto" w:val="clear"/>
              </w:rPr>
              <w:t>R$ 1.290,00 (mil, duzentos e noventa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17 de julho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rFonts w:cs="Calibri" w:cstheme="minorHAnsi"/>
          <w:b/>
          <w:bCs/>
          <w:sz w:val="24"/>
          <w:szCs w:val="24"/>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jc w:val="center"/>
        <w:rPr>
          <w:rFonts w:cs="Calibri" w:cstheme="minorHAnsi"/>
          <w:b/>
          <w:bCs/>
          <w:sz w:val="24"/>
          <w:szCs w:val="24"/>
        </w:rPr>
      </w:pPr>
      <w:r>
        <w:rPr>
          <w:rFonts w:cs="Calibri" w:cstheme="minorHAnsi"/>
          <w:b/>
          <w:bCs/>
          <w:sz w:val="24"/>
          <w:szCs w:val="24"/>
        </w:rPr>
      </w:r>
    </w:p>
    <w:p>
      <w:pPr>
        <w:pStyle w:val="Normal"/>
        <w:spacing w:lineRule="auto" w:line="276"/>
        <w:jc w:val="center"/>
        <w:rPr>
          <w:rFonts w:cs="Calibri" w:cstheme="minorHAnsi"/>
          <w:b/>
          <w:bCs/>
          <w:sz w:val="24"/>
          <w:szCs w:val="24"/>
        </w:rPr>
      </w:pPr>
      <w:r>
        <w:rPr>
          <w:rFonts w:cs="Calibri" w:cstheme="minorHAnsi"/>
          <w:b/>
          <w:bCs/>
          <w:sz w:val="24"/>
          <w:szCs w:val="24"/>
        </w:rPr>
      </w:r>
    </w:p>
    <w:p>
      <w:pPr>
        <w:pStyle w:val="Normal"/>
        <w:spacing w:lineRule="auto" w:line="276"/>
        <w:jc w:val="center"/>
        <w:rPr>
          <w:rFonts w:cs="Calibri" w:cstheme="minorHAnsi"/>
          <w:b/>
          <w:bCs/>
          <w:sz w:val="24"/>
          <w:szCs w:val="24"/>
        </w:rPr>
      </w:pPr>
      <w:r>
        <w:rPr>
          <w:rFonts w:cs="Calibri" w:cstheme="minorHAnsi"/>
          <w:b/>
          <w:bCs/>
          <w:sz w:val="24"/>
          <w:szCs w:val="24"/>
        </w:rPr>
      </w:r>
    </w:p>
    <w:p>
      <w:pPr>
        <w:pStyle w:val="Normal"/>
        <w:spacing w:lineRule="auto" w:line="276"/>
        <w:jc w:val="center"/>
        <w:rPr>
          <w:rFonts w:cs="Calibri" w:cstheme="minorHAnsi"/>
          <w:b/>
          <w:bCs/>
          <w:sz w:val="24"/>
          <w:szCs w:val="24"/>
        </w:rPr>
      </w:pPr>
      <w:r>
        <w:rPr>
          <w:rFonts w:cs="Calibri" w:cstheme="minorHAnsi"/>
          <w:b/>
          <w:bCs/>
          <w:sz w:val="24"/>
          <w:szCs w:val="24"/>
        </w:rPr>
      </w:r>
    </w:p>
    <w:p>
      <w:pPr>
        <w:pStyle w:val="Normal"/>
        <w:spacing w:lineRule="auto" w:line="276"/>
        <w:jc w:val="center"/>
        <w:rPr>
          <w:rFonts w:cs="Calibri" w:cstheme="minorHAnsi"/>
          <w:b/>
          <w:bCs/>
          <w:sz w:val="24"/>
          <w:szCs w:val="24"/>
        </w:rPr>
      </w:pPr>
      <w:r>
        <w:rPr>
          <w:rFonts w:cs="Calibri" w:cstheme="minorHAnsi"/>
          <w:b/>
          <w:bCs/>
          <w:sz w:val="24"/>
          <w:szCs w:val="24"/>
        </w:rPr>
      </w:r>
    </w:p>
    <w:p>
      <w:pPr>
        <w:pStyle w:val="Normal"/>
        <w:spacing w:lineRule="auto" w:line="276"/>
        <w:jc w:val="center"/>
        <w:rPr>
          <w:rFonts w:cs="Calibri" w:cstheme="minorHAnsi"/>
          <w:b/>
          <w:bCs/>
          <w:sz w:val="24"/>
          <w:szCs w:val="24"/>
        </w:rPr>
      </w:pPr>
      <w:r>
        <w:rPr>
          <w:rFonts w:cs="Calibri" w:cstheme="minorHAnsi"/>
          <w:b/>
          <w:bCs/>
          <w:sz w:val="24"/>
          <w:szCs w:val="24"/>
        </w:rPr>
      </w:r>
    </w:p>
    <w:p>
      <w:pPr>
        <w:pStyle w:val="Normal"/>
        <w:spacing w:lineRule="auto" w:line="276"/>
        <w:jc w:val="center"/>
        <w:rPr>
          <w:rFonts w:cs="Calibri" w:cstheme="minorHAnsi"/>
          <w:b/>
          <w:bCs/>
          <w:sz w:val="24"/>
          <w:szCs w:val="24"/>
        </w:rPr>
      </w:pPr>
      <w:r>
        <w:rPr>
          <w:rFonts w:cs="Calibri" w:cstheme="minorHAnsi"/>
          <w:b/>
          <w:bCs/>
          <w:sz w:val="24"/>
          <w:szCs w:val="24"/>
        </w:rPr>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17 de julho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29 de julho a 1° de agosto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17 de julho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en-US" w:bidi="ar-SA"/>
        </w:rPr>
        <w:t>“</w:t>
      </w:r>
      <w:r>
        <w:rPr>
          <w:rStyle w:val="Fontepargpadro"/>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strike w:val="false"/>
          <w:dstrike w:val="false"/>
          <w:outline w:val="false"/>
          <w:shadow w:val="false"/>
          <w:color w:val="000000"/>
          <w:spacing w:val="0"/>
          <w:w w:val="115"/>
          <w:kern w:val="0"/>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29 de julho a 1° de agosto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spacing w:lineRule="auto" w:line="276" w:before="0" w:after="120"/>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17 de julho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R$ 1.290,00 (mil, duzentos e noventa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17 de julho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17 de julho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17 de julho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35</w:t>
      </w:r>
      <w:r>
        <w:rPr>
          <w:rFonts w:cs="Calibri" w:cstheme="minorHAnsi"/>
          <w:b/>
          <w:bCs/>
          <w:sz w:val="24"/>
          <w:szCs w:val="24"/>
          <w:shd w:fill="auto" w:val="clear"/>
        </w:rPr>
        <w:t xml:space="preserve">/2025 </w:t>
      </w:r>
      <w:r>
        <w:rPr>
          <w:rFonts w:cs="Calibri" w:cstheme="minorHAnsi"/>
          <w:b/>
          <w:bCs/>
          <w:sz w:val="24"/>
          <w:szCs w:val="24"/>
        </w:rPr>
        <w:t>- PROCESSO DE INEXIGIBILIDADE Nº.09/2025,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17 de julho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color w:val="000000"/>
          <w:w w:val="115"/>
          <w:kern w:val="0"/>
          <w:sz w:val="24"/>
          <w:szCs w:val="24"/>
          <w:u w:val="none"/>
          <w:shd w:fill="auto" w:val="clear"/>
          <w:lang w:val="pt-BR" w:eastAsia="en-US" w:bidi="ar-SA"/>
        </w:rPr>
        <w:t>“</w:t>
      </w:r>
      <w:r>
        <w:rPr>
          <w:rStyle w:val="Fontepargpadro"/>
          <w:rFonts w:eastAsia="Calibri" w:cs="Times New Roman"/>
          <w:b w:val="false"/>
          <w:bCs w:val="false"/>
          <w:i w:val="false"/>
          <w:iCs w:val="false"/>
          <w:color w:val="000000"/>
          <w:w w:val="115"/>
          <w:kern w:val="0"/>
          <w:sz w:val="24"/>
          <w:szCs w:val="24"/>
          <w:u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color w:val="00000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17 de julho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09/2025.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shd w:fill="auto" w:val="clear"/>
        </w:rPr>
        <w:t>INLEGIS CONSULTORIA E TREINAMENTO LTDA CNPJ: 30.050.141/0001-80</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en-US" w:bidi="ar-SA"/>
        </w:rPr>
        <w:t>“</w:t>
      </w:r>
      <w:r>
        <w:rPr>
          <w:rStyle w:val="Fontepargpadro"/>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Assessoria e Vereança Eficientes: Gestão Documental, Redação Legislativa, Produtividade, Trabalho em Equipe e Desenvolvimento Contínuo</w:t>
      </w:r>
      <w:r>
        <w:rPr>
          <w:rStyle w:val="Hyperlink"/>
          <w:rFonts w:eastAsia="Calibri" w:cs="Times New Roman"/>
          <w:b w:val="false"/>
          <w:bCs w:val="false"/>
          <w:i w:val="false"/>
          <w:iCs w:val="false"/>
          <w:strike w:val="false"/>
          <w:dstrike w:val="false"/>
          <w:color w:val="000000"/>
          <w:w w:val="115"/>
          <w:kern w:val="0"/>
          <w:sz w:val="24"/>
          <w:szCs w:val="24"/>
          <w:u w:val="none"/>
          <w:effect w:val="none"/>
          <w:shd w:fill="auto" w:val="clear"/>
          <w:lang w:val="pt-BR" w:eastAsia="ar-SA" w:bidi="ar-SA"/>
        </w:rPr>
        <w:t>”</w:t>
      </w:r>
      <w:r>
        <w:rPr>
          <w:rFonts w:cs="Calibri" w:cstheme="minorHAnsi"/>
          <w:sz w:val="24"/>
          <w:szCs w:val="24"/>
        </w:rPr>
        <w:t xml:space="preserve"> referente à </w:t>
      </w:r>
      <w:r>
        <w:rPr>
          <w:rFonts w:cs="Calibri" w:cstheme="minorHAnsi"/>
          <w:b/>
          <w:bCs/>
          <w:sz w:val="24"/>
          <w:szCs w:val="24"/>
        </w:rPr>
        <w:t xml:space="preserve">01 (uma) inscrição </w:t>
      </w:r>
      <w:r>
        <w:rPr>
          <w:rFonts w:cs="Calibri" w:cstheme="minorHAnsi"/>
          <w:sz w:val="24"/>
          <w:szCs w:val="24"/>
        </w:rPr>
        <w:t xml:space="preserve">no curso para servidores deste órgão, pelo valor total de </w:t>
      </w:r>
      <w:r>
        <w:rPr>
          <w:rFonts w:cs="Calibri" w:cstheme="minorHAnsi"/>
          <w:b/>
          <w:bCs/>
          <w:sz w:val="24"/>
          <w:szCs w:val="24"/>
        </w:rPr>
        <w:t>R$ 1.290,00.</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31">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31">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Smbolosdenumeraouser">
    <w:name w:val="Símbolos de numeração (user)"/>
    <w:qFormat/>
    <w:rPr/>
  </w:style>
  <w:style w:type="character" w:styleId="Emphasis">
    <w:name w:val="Emphasis"/>
    <w:qFormat/>
    <w:rPr>
      <w:i/>
      <w:iCs/>
    </w:rPr>
  </w:style>
  <w:style w:type="character" w:styleId="Strong1">
    <w:name w:val="Strong1"/>
    <w:qFormat/>
    <w:rPr>
      <w:b/>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4"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Textodebalo">
    <w:name w:val="Texto de balão"/>
    <w:basedOn w:val="Normal"/>
    <w:qFormat/>
    <w:pPr/>
    <w:rPr>
      <w:rFonts w:ascii="Segoe UI" w:hAnsi="Segoe UI" w:eastAsia="Segoe UI"/>
      <w:sz w:val="18"/>
      <w:szCs w:val="18"/>
      <w:lang w:eastAsia="ar-SA"/>
    </w:rPr>
  </w:style>
  <w:style w:type="paragraph" w:styleId="SemEspaamento">
    <w:name w:val="Sem Espaçamento"/>
    <w:qFormat/>
    <w:pPr>
      <w:widowControl/>
      <w:suppressAutoHyphens w:val="true"/>
      <w:bidi w:val="0"/>
      <w:spacing w:before="0" w:after="0"/>
      <w:jc w:val="left"/>
    </w:pPr>
    <w:rPr>
      <w:rFonts w:ascii="Calibri" w:hAnsi="Calibri" w:eastAsia="Liberation Serif" w:cs="Liberation Serif"/>
      <w:color w:val="00000A"/>
      <w:kern w:val="0"/>
      <w:sz w:val="22"/>
      <w:szCs w:val="22"/>
      <w:lang w:val="pt-BR" w:eastAsia="hi-IN" w:bidi="hi-IN"/>
    </w:rPr>
  </w:style>
  <w:style w:type="paragraph" w:styleId="EndnoteSymbol1">
    <w:name w:val="Endnote Symbol1"/>
    <w:basedOn w:val="Normal"/>
    <w:qFormat/>
    <w:pPr>
      <w:spacing w:lineRule="auto" w:line="276" w:before="0" w:after="200"/>
    </w:pPr>
    <w:rPr>
      <w:rFonts w:ascii="Calibri" w:hAnsi="Calibri" w:eastAsia="Calibri"/>
      <w:sz w:val="20"/>
      <w:szCs w:val="20"/>
      <w:lang w:eastAsia="ar-SA"/>
    </w:rPr>
  </w:style>
  <w:style w:type="paragraph" w:styleId="PargrafodaLista">
    <w:name w:val="Parágrafo da Lista"/>
    <w:basedOn w:val="Normal"/>
    <w:qFormat/>
    <w:pPr>
      <w:spacing w:lineRule="auto" w:line="276" w:before="0" w:after="200"/>
      <w:ind w:hanging="0" w:left="720" w:right="0"/>
      <w:contextualSpacing/>
    </w:pPr>
    <w:rPr>
      <w:rFonts w:ascii="Calibri" w:hAnsi="Calibri" w:eastAsia="Calibri"/>
      <w:sz w:val="22"/>
      <w:szCs w:val="22"/>
      <w:lang w:eastAsia="ar-SA"/>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2922</TotalTime>
  <Application>LibreOffice/25.2.4.3$Windows_X86_64 LibreOffice_project/33e196637044ead23f5c3226cde09b47731f7e27</Application>
  <AppVersion>15.0000</AppVersion>
  <Pages>30</Pages>
  <Words>6029</Words>
  <Characters>36564</Characters>
  <CharactersWithSpaces>42200</CharactersWithSpaces>
  <Paragraphs>475</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2025-07-23T10:30:20Z</cp:lastPrinted>
  <dcterms:modified xsi:type="dcterms:W3CDTF">2025-07-23T10:57:06Z</dcterms:modified>
  <cp:revision>132</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