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Times New Roman" w:hAnsi="Times New Roman"/>
          <w:i w:val="false"/>
          <w:i w:val="false"/>
          <w:iCs w:val="false"/>
          <w:color w:val="auto"/>
          <w:sz w:val="24"/>
          <w:szCs w:val="24"/>
        </w:rPr>
      </w:pPr>
      <w:r>
        <w:rPr>
          <w:i w:val="false"/>
          <w:iCs w:val="false"/>
          <w:color w:val="auto"/>
          <w:sz w:val="24"/>
          <w:szCs w:val="24"/>
        </w:rPr>
      </w:r>
    </w:p>
    <w:p>
      <w:pPr>
        <w:pStyle w:val="Normal"/>
        <w:spacing w:lineRule="auto" w:line="276"/>
        <w:ind w:hanging="0"/>
        <w:jc w:val="center"/>
        <w:rPr/>
      </w:pPr>
      <w:r>
        <w:rPr>
          <w:rFonts w:cs="Calibri" w:cstheme="minorHAnsi"/>
          <w:b/>
          <w:bCs/>
          <w:sz w:val="24"/>
          <w:szCs w:val="24"/>
        </w:rPr>
        <w:t>PROCESSO DE CONTRATAÇÃO DIRETA</w:t>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FootnoteText"/>
        <w:spacing w:lineRule="auto" w:line="276"/>
        <w:ind w:hanging="0" w:left="4536"/>
        <w:jc w:val="both"/>
        <w:rPr>
          <w:rFonts w:cs="Calibri" w:cstheme="minorHAnsi"/>
          <w:sz w:val="24"/>
          <w:szCs w:val="24"/>
        </w:rPr>
      </w:pPr>
      <w:r>
        <w:rPr>
          <w:rFonts w:cs="Calibri" w:cstheme="minorHAnsi"/>
          <w:sz w:val="24"/>
          <w:szCs w:val="24"/>
        </w:rPr>
      </w:r>
    </w:p>
    <w:p>
      <w:pPr>
        <w:pStyle w:val="Normal"/>
        <w:spacing w:lineRule="auto" w:line="276"/>
        <w:ind w:hanging="0" w:left="4536"/>
        <w:jc w:val="both"/>
        <w:rPr>
          <w:rFonts w:ascii="Times New Roman" w:hAnsi="Times New Roman" w:cs="Calibri" w:cstheme="minorHAnsi"/>
          <w:sz w:val="24"/>
          <w:szCs w:val="24"/>
        </w:rPr>
      </w:pPr>
      <w:r>
        <w:rPr>
          <w:rFonts w:cs="Calibri" w:cstheme="minorHAnsi"/>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hanging="0"/>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0" w:name="_Toc145248077"/>
      <w:r>
        <w:rPr>
          <w:rFonts w:cs="Calibri" w:cstheme="minorHAnsi"/>
          <w:b/>
          <w:bCs/>
          <w:sz w:val="24"/>
          <w:szCs w:val="24"/>
        </w:rPr>
        <w:t>AUTUAÇÃO</w:t>
      </w:r>
      <w:bookmarkEnd w:id="0"/>
    </w:p>
    <w:p>
      <w:pPr>
        <w:pStyle w:val="BodyText2"/>
        <w:spacing w:lineRule="auto" w:line="276" w:before="120" w:after="120"/>
        <w:jc w:val="center"/>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jc w:val="both"/>
        <w:rPr/>
      </w:pPr>
      <w:r>
        <w:rPr>
          <w:rFonts w:cs="Calibri" w:cstheme="minorHAnsi"/>
          <w:sz w:val="24"/>
          <w:szCs w:val="24"/>
        </w:rPr>
        <w:t>Aos 5 (cinco) dias de agosto de 2025, eu, Flavio Habitzreiter, Presidente, instaurei o</w:t>
      </w:r>
      <w:r>
        <w:rPr>
          <w:rFonts w:cs="Calibri" w:cstheme="minorHAnsi"/>
          <w:color w:val="FF0000"/>
          <w:sz w:val="24"/>
          <w:szCs w:val="24"/>
        </w:rPr>
        <w:t xml:space="preserve"> </w:t>
      </w:r>
      <w:r>
        <w:rPr>
          <w:rFonts w:cs="Calibri" w:cstheme="minorHAnsi"/>
          <w:b/>
          <w:bCs/>
          <w:sz w:val="24"/>
          <w:szCs w:val="24"/>
        </w:rPr>
        <w:t>PROCESSO LICITATÓRIO Nº. 37</w:t>
      </w:r>
      <w:r>
        <w:rPr>
          <w:rFonts w:cs="Calibri" w:cstheme="minorHAnsi"/>
          <w:b/>
          <w:bCs/>
          <w:sz w:val="24"/>
          <w:szCs w:val="24"/>
          <w:shd w:fill="auto" w:val="clear"/>
        </w:rPr>
        <w:t>/2025</w:t>
      </w:r>
      <w:r>
        <w:rPr>
          <w:rFonts w:cs="Calibri" w:cstheme="minorHAnsi"/>
          <w:b/>
          <w:bCs/>
          <w:sz w:val="24"/>
          <w:szCs w:val="24"/>
        </w:rPr>
        <w:t xml:space="preserve"> - INEXIGIBILIDADE DE LICITAÇÃO Nº. 11/2025. </w:t>
      </w:r>
    </w:p>
    <w:p>
      <w:pPr>
        <w:pStyle w:val="Normal"/>
        <w:spacing w:lineRule="auto" w:line="276" w:before="120" w:after="120"/>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jc w:val="both"/>
        <w:rPr/>
      </w:pPr>
      <w:r>
        <w:rPr>
          <w:rFonts w:cs="Calibri" w:cstheme="minorHAnsi"/>
          <w:sz w:val="24"/>
          <w:szCs w:val="24"/>
        </w:rPr>
        <w:t xml:space="preserve">                 </w:t>
      </w:r>
    </w:p>
    <w:p>
      <w:pPr>
        <w:pStyle w:val="Normal"/>
        <w:spacing w:lineRule="auto" w:line="276" w:before="120" w:after="120"/>
        <w:jc w:val="both"/>
        <w:rPr/>
      </w:pPr>
      <w:r>
        <w:rPr>
          <w:rFonts w:cs="Calibri" w:cstheme="minorHAnsi"/>
          <w:sz w:val="24"/>
          <w:szCs w:val="24"/>
        </w:rPr>
        <w:t>Para constar lavrei o presente termo.</w:t>
      </w:r>
    </w:p>
    <w:p>
      <w:pPr>
        <w:pStyle w:val="BodyText2"/>
        <w:spacing w:lineRule="auto" w:line="276" w:before="120" w:after="120"/>
        <w:jc w:val="center"/>
        <w:rPr/>
      </w:pPr>
      <w:r>
        <w:rPr>
          <w:rFonts w:cs="Calibri" w:cstheme="minorHAnsi"/>
          <w:sz w:val="24"/>
          <w:szCs w:val="24"/>
        </w:rPr>
        <w:t xml:space="preserve">    </w:t>
      </w:r>
      <w:r>
        <w:rPr>
          <w:rFonts w:cs="Calibri" w:cstheme="minorHAnsi"/>
          <w:sz w:val="24"/>
          <w:szCs w:val="24"/>
        </w:rPr>
        <w:t>....................................................</w:t>
      </w:r>
    </w:p>
    <w:p>
      <w:pPr>
        <w:pStyle w:val="PargrafodaLista1"/>
        <w:spacing w:lineRule="auto" w:line="276" w:before="120" w:after="120"/>
        <w:contextualSpacing/>
        <w:jc w:val="center"/>
        <w:rPr/>
      </w:pPr>
      <w:r>
        <w:rPr>
          <w:rFonts w:cs="Calibri" w:cstheme="minorHAnsi"/>
        </w:rPr>
        <w:t>Flavio Habitzreiter</w:t>
      </w:r>
    </w:p>
    <w:p>
      <w:pPr>
        <w:pStyle w:val="PargrafodaLista1"/>
        <w:spacing w:lineRule="auto" w:line="276" w:before="120" w:after="120"/>
        <w:contextualSpacing/>
        <w:jc w:val="center"/>
        <w:rPr/>
      </w:pPr>
      <w:r>
        <w:rPr>
          <w:rFonts w:cs="Calibri" w:cstheme="minorHAnsi"/>
        </w:rPr>
        <w:t>Presidente</w:t>
      </w:r>
    </w:p>
    <w:p>
      <w:pPr>
        <w:pStyle w:val="Normal"/>
        <w:spacing w:lineRule="auto" w:line="276"/>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0"/>
        <w:jc w:val="center"/>
        <w:rPr/>
      </w:pPr>
      <w:bookmarkStart w:id="1" w:name="_Toc145248089"/>
      <w:r>
        <w:rPr>
          <w:rFonts w:cs="Calibri" w:cstheme="minorHAnsi"/>
          <w:b/>
          <w:bCs/>
          <w:sz w:val="24"/>
          <w:szCs w:val="24"/>
        </w:rPr>
        <w:t>DOCUMENTO DE FORMALIZAÇÃO DE DEMANDA</w:t>
      </w:r>
      <w:bookmarkEnd w:id="1"/>
      <w:r>
        <w:rPr>
          <w:rFonts w:cs="Calibri" w:cstheme="minorHAnsi"/>
          <w:b/>
          <w:bCs/>
          <w:sz w:val="24"/>
          <w:szCs w:val="24"/>
        </w:rPr>
        <w:t xml:space="preserve"> </w:t>
      </w:r>
      <w:r>
        <w:rPr>
          <w:rFonts w:cs="Calibri" w:cstheme="minorHAnsi"/>
          <w:b/>
          <w:bCs/>
          <w:sz w:val="24"/>
          <w:szCs w:val="24"/>
          <w:shd w:fill="auto" w:val="clear"/>
        </w:rPr>
        <w:t>N. 37/2025</w:t>
      </w:r>
    </w:p>
    <w:p>
      <w:pPr>
        <w:pStyle w:val="Normal"/>
        <w:spacing w:lineRule="auto" w:line="276"/>
        <w:rPr>
          <w:rFonts w:ascii="Times New Roman" w:hAnsi="Times New Roman" w:cs="Calibri" w:cstheme="minorHAnsi"/>
          <w:sz w:val="24"/>
          <w:szCs w:val="24"/>
        </w:rPr>
      </w:pPr>
      <w:r>
        <w:rPr>
          <w:rFonts w:cs="Calibri" w:cstheme="minorHAnsi"/>
          <w:sz w:val="24"/>
          <w:szCs w:val="24"/>
        </w:rPr>
      </w:r>
    </w:p>
    <w:tbl>
      <w:tblPr>
        <w:tblW w:w="9379" w:type="dxa"/>
        <w:jc w:val="left"/>
        <w:tblInd w:w="115" w:type="dxa"/>
        <w:tblLayout w:type="fixed"/>
        <w:tblCellMar>
          <w:top w:w="100" w:type="dxa"/>
          <w:left w:w="100" w:type="dxa"/>
          <w:bottom w:w="100" w:type="dxa"/>
          <w:right w:w="100" w:type="dxa"/>
        </w:tblCellMar>
        <w:tblLook w:firstRow="0" w:noVBand="1" w:lastRow="0" w:firstColumn="0" w:lastColumn="0" w:noHBand="1" w:val="0600"/>
      </w:tblPr>
      <w:tblGrid>
        <w:gridCol w:w="4086"/>
        <w:gridCol w:w="97"/>
        <w:gridCol w:w="2552"/>
        <w:gridCol w:w="2644"/>
      </w:tblGrid>
      <w:tr>
        <w:trPr>
          <w:trHeight w:val="469" w:hRule="atLeast"/>
        </w:trPr>
        <w:tc>
          <w:tcPr>
            <w:tcW w:w="9379" w:type="dxa"/>
            <w:gridSpan w:val="4"/>
            <w:tcBorders>
              <w:top w:val="single" w:sz="4" w:space="0" w:color="000000"/>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Órgão:</w:t>
            </w:r>
            <w:r>
              <w:rPr>
                <w:rFonts w:eastAsia="Times New Roman" w:cs="Calibri" w:cstheme="minorHAnsi"/>
                <w:sz w:val="24"/>
                <w:szCs w:val="24"/>
              </w:rPr>
              <w:t xml:space="preserve"> </w:t>
            </w:r>
            <w:r>
              <w:rPr>
                <w:rFonts w:eastAsia="Times New Roman" w:cs="Calibri"/>
                <w:b w:val="false"/>
                <w:bCs w:val="false"/>
                <w:i w:val="false"/>
                <w:iCs w:val="false"/>
                <w:color w:val="auto"/>
                <w:sz w:val="24"/>
                <w:szCs w:val="24"/>
              </w:rPr>
              <w:t>Câmara Municipal de Três Passos-RS.</w:t>
            </w:r>
          </w:p>
        </w:tc>
      </w:tr>
      <w:tr>
        <w:trPr>
          <w:trHeight w:val="318" w:hRule="atLeast"/>
        </w:trPr>
        <w:tc>
          <w:tcPr>
            <w:tcW w:w="9379" w:type="dxa"/>
            <w:gridSpan w:val="4"/>
            <w:tcBorders>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Setor requisitante: </w:t>
            </w:r>
            <w:r>
              <w:rPr>
                <w:rFonts w:eastAsia="Times New Roman" w:cs="Calibri"/>
                <w:b w:val="false"/>
                <w:bCs w:val="false"/>
                <w:i w:val="false"/>
                <w:iCs w:val="false"/>
                <w:color w:val="auto"/>
                <w:sz w:val="24"/>
                <w:szCs w:val="24"/>
              </w:rPr>
              <w:t>Câmara Municipal de Três Passos-RS.</w:t>
            </w:r>
          </w:p>
        </w:tc>
      </w:tr>
      <w:tr>
        <w:trPr>
          <w:trHeight w:val="294" w:hRule="atLeast"/>
        </w:trPr>
        <w:tc>
          <w:tcPr>
            <w:tcW w:w="6735" w:type="dxa"/>
            <w:gridSpan w:val="3"/>
            <w:tcBorders>
              <w:top w:val="single" w:sz="8" w:space="0" w:color="000000"/>
              <w:left w:val="single" w:sz="12" w:space="0" w:color="000000"/>
              <w:bottom w:val="single" w:sz="8" w:space="0" w:color="000000"/>
            </w:tcBorders>
          </w:tcPr>
          <w:p>
            <w:pPr>
              <w:pStyle w:val="Normal"/>
              <w:widowControl w:val="false"/>
              <w:spacing w:lineRule="auto" w:line="276" w:before="120" w:after="120"/>
              <w:rPr/>
            </w:pPr>
            <w:r>
              <w:rPr>
                <w:rFonts w:eastAsia="Times New Roman" w:cs="Calibri" w:cstheme="minorHAnsi"/>
                <w:b/>
                <w:bCs/>
                <w:sz w:val="24"/>
                <w:szCs w:val="24"/>
              </w:rPr>
              <w:t>Responsável pela Demanda:</w:t>
            </w:r>
            <w:r>
              <w:rPr>
                <w:rFonts w:eastAsia="Times New Roman" w:cs="Calibri" w:cstheme="minorHAnsi"/>
                <w:b w:val="false"/>
                <w:bCs w:val="false"/>
                <w:sz w:val="24"/>
                <w:szCs w:val="24"/>
              </w:rPr>
              <w:t xml:space="preserve"> Emanuelle C. C. Petrazzini</w:t>
            </w:r>
          </w:p>
        </w:tc>
        <w:tc>
          <w:tcPr>
            <w:tcW w:w="2644" w:type="dxa"/>
            <w:tcBorders>
              <w:top w:val="single" w:sz="8"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sz w:val="24"/>
                <w:szCs w:val="24"/>
              </w:rPr>
              <w:t>Matrícula:177</w:t>
            </w:r>
          </w:p>
        </w:tc>
      </w:tr>
      <w:tr>
        <w:trPr>
          <w:trHeight w:val="224" w:hRule="atLeast"/>
        </w:trPr>
        <w:tc>
          <w:tcPr>
            <w:tcW w:w="4086" w:type="dxa"/>
            <w:tcBorders>
              <w:left w:val="single" w:sz="12" w:space="0" w:color="000000"/>
              <w:bottom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E-mail:</w:t>
            </w:r>
            <w:r>
              <w:rPr>
                <w:rFonts w:eastAsia="Times New Roman" w:cs="Calibri" w:cstheme="minorHAnsi"/>
                <w:sz w:val="24"/>
                <w:szCs w:val="24"/>
              </w:rPr>
              <w:t xml:space="preserve"> camara@trespassos.rs.leg.br</w:t>
            </w:r>
          </w:p>
        </w:tc>
        <w:tc>
          <w:tcPr>
            <w:tcW w:w="97" w:type="dxa"/>
            <w:tcBorders>
              <w:bottom w:val="single" w:sz="12" w:space="0" w:color="000000"/>
            </w:tcBorders>
          </w:tcPr>
          <w:p>
            <w:pPr>
              <w:pStyle w:val="Normal"/>
              <w:widowControl w:val="false"/>
              <w:spacing w:lineRule="auto" w:line="276" w:before="120" w:after="120"/>
              <w:rPr>
                <w:rFonts w:ascii="Times New Roman" w:hAnsi="Times New Roman"/>
              </w:rPr>
            </w:pPr>
            <w:r>
              <w:rPr/>
            </w:r>
          </w:p>
        </w:tc>
        <w:tc>
          <w:tcPr>
            <w:tcW w:w="5196" w:type="dxa"/>
            <w:gridSpan w:val="2"/>
            <w:tcBorders>
              <w:bottom w:val="single" w:sz="12"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 </w:t>
            </w:r>
            <w:r>
              <w:rPr>
                <w:rFonts w:eastAsia="Times New Roman" w:cs="Calibri" w:cstheme="minorHAnsi"/>
                <w:b/>
                <w:bCs/>
                <w:sz w:val="24"/>
                <w:szCs w:val="24"/>
              </w:rPr>
              <w:t xml:space="preserve">Telefone: </w:t>
            </w:r>
            <w:r>
              <w:rPr>
                <w:rFonts w:eastAsia="Times New Roman" w:cs="Calibri" w:cstheme="minorHAnsi"/>
                <w:sz w:val="24"/>
                <w:szCs w:val="24"/>
              </w:rPr>
              <w:t>(55) 3522-1210</w:t>
            </w:r>
          </w:p>
        </w:tc>
      </w:tr>
      <w:tr>
        <w:trPr>
          <w:trHeight w:val="611" w:hRule="atLeast"/>
        </w:trPr>
        <w:tc>
          <w:tcPr>
            <w:tcW w:w="9379" w:type="dxa"/>
            <w:gridSpan w:val="4"/>
            <w:tcBorders>
              <w:left w:val="single" w:sz="12" w:space="0" w:color="000000"/>
              <w:right w:val="single" w:sz="12" w:space="0" w:color="000000"/>
            </w:tcBorders>
          </w:tcPr>
          <w:p>
            <w:pPr>
              <w:pStyle w:val="Normal"/>
              <w:spacing w:lineRule="auto" w:line="276"/>
              <w:rPr/>
            </w:pPr>
            <w:r>
              <w:rPr>
                <w:rFonts w:eastAsia="Times New Roman" w:cs="Calibri" w:cstheme="minorHAnsi"/>
                <w:b/>
                <w:sz w:val="24"/>
                <w:szCs w:val="24"/>
              </w:rPr>
              <w:t xml:space="preserve">1. </w:t>
            </w:r>
            <w:r>
              <w:rPr/>
              <w:t xml:space="preserve">Objeto: </w:t>
            </w:r>
            <w:r>
              <w:rPr>
                <w:rStyle w:val="Fontepargpadro"/>
                <w:lang w:val="pt-BR" w:eastAsia="ar-SA" w:bidi="ar-SA"/>
              </w:rPr>
              <w:t>Contratação de empresa do ramo pertinente para participação de vereadores da Câmara Municipal de Três Passos-RS no C</w:t>
            </w:r>
            <w:r>
              <w:rPr>
                <w:rStyle w:val="Fontepargpadro"/>
                <w:color w:val="auto"/>
                <w:u w:val="none"/>
                <w:lang w:val="pt-BR" w:eastAsia="ar-SA" w:bidi="ar-SA"/>
              </w:rPr>
              <w:t>urso “</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Desempenho de Gestão Integrada: Estratégias, Práticas Avançadas e Legislação</w:t>
            </w:r>
            <w:r>
              <w:rPr>
                <w:rStyle w:val="Fontepargpadro"/>
                <w:color w:val="auto"/>
                <w:u w:val="none"/>
                <w:lang w:val="pt-BR" w:eastAsia="ar-SA" w:bidi="ar-SA"/>
              </w:rPr>
              <w:t>”.</w:t>
            </w:r>
          </w:p>
        </w:tc>
      </w:tr>
      <w:tr>
        <w:trPr>
          <w:trHeight w:val="745" w:hRule="atLeast"/>
        </w:trPr>
        <w:tc>
          <w:tcPr>
            <w:tcW w:w="9379"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2. Justificativa da necessidade da contratação</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sz w:val="24"/>
                <w:szCs w:val="24"/>
              </w:rPr>
            </w:pPr>
            <w:r>
              <w:rPr>
                <w:rFonts w:cs="Calibri" w:ascii="Times New Roman" w:hAnsi="Times New Roman" w:cstheme="minorHAnsi"/>
                <w:sz w:val="24"/>
                <w:szCs w:val="24"/>
              </w:rPr>
              <w:t>Diante das crescentes demandas por eficiência, integridade e responsabilidade na gestão pública, é essencial que os vereadores estejam preparados para exercer com excelência suas atribuições institucionais. A capacitação proposta abordará temas fundamentais como gestão pública, fiscalização do TCE, improbidade administrativa, imunidade parlamentar, captação de recursos e práticas de compliance e governança.</w:t>
            </w:r>
          </w:p>
          <w:p>
            <w:pPr>
              <w:pStyle w:val="BodyText"/>
              <w:widowControl/>
              <w:suppressAutoHyphens w:val="true"/>
              <w:overflowPunct w:val="false"/>
              <w:bidi w:val="0"/>
              <w:spacing w:lineRule="auto" w:line="276" w:before="0" w:after="0"/>
              <w:ind w:firstLine="794" w:left="0" w:right="113"/>
              <w:jc w:val="both"/>
              <w:rPr>
                <w:rFonts w:ascii="Times New Roman" w:hAnsi="Times New Roman" w:cs="Calibri" w:cstheme="minorHAnsi"/>
              </w:rPr>
            </w:pPr>
            <w:r>
              <w:rPr>
                <w:rFonts w:cs="Calibri" w:ascii="Times New Roman" w:hAnsi="Times New Roman" w:cstheme="minorHAnsi"/>
              </w:rPr>
              <w:t>O aprofundamento nesses conteúdos contribuirá para a qualificação técnica dos parlamentares, promovendo maior segurança jurídica nas decisões, fortalecimento da atuação legislativa, melhor interlocução com órgãos de controle e aprimoramento da fiscalização dos recursos públicos.</w:t>
            </w:r>
          </w:p>
          <w:p>
            <w:pPr>
              <w:pStyle w:val="BodyText"/>
              <w:widowControl/>
              <w:suppressAutoHyphens w:val="true"/>
              <w:overflowPunct w:val="false"/>
              <w:bidi w:val="0"/>
              <w:spacing w:lineRule="auto" w:line="276" w:before="0" w:after="0"/>
              <w:ind w:firstLine="794" w:left="0" w:right="113"/>
              <w:jc w:val="both"/>
              <w:rPr>
                <w:rFonts w:ascii="Times New Roman" w:hAnsi="Times New Roman" w:cs="Calibri" w:cstheme="minorHAnsi"/>
              </w:rPr>
            </w:pPr>
            <w:r>
              <w:rPr>
                <w:rFonts w:cs="Calibri" w:ascii="Times New Roman" w:hAnsi="Times New Roman" w:cstheme="minorHAnsi"/>
              </w:rPr>
              <w:t>Com isso, a participação no curso representa uma medida estratégica para o desenvolvimento institucional da Câmara Municipal de Três Passos, ampliando sua capacidade de atuação em benefício do interesse público.</w:t>
            </w:r>
          </w:p>
          <w:p>
            <w:pPr>
              <w:pStyle w:val="BodyText"/>
              <w:widowControl/>
              <w:suppressAutoHyphens w:val="true"/>
              <w:overflowPunct w:val="false"/>
              <w:bidi w:val="0"/>
              <w:spacing w:lineRule="auto" w:line="276" w:before="0" w:after="0"/>
              <w:ind w:firstLine="794" w:left="0" w:right="113"/>
              <w:jc w:val="both"/>
              <w:rPr>
                <w:rFonts w:ascii="Times New Roman" w:hAnsi="Times New Roman" w:cs="Calibri" w:cstheme="minorHAnsi"/>
              </w:rPr>
            </w:pPr>
            <w:r>
              <w:rPr>
                <w:rFonts w:cs="Calibri" w:ascii="Times New Roman" w:hAnsi="Times New Roman" w:cstheme="minorHAnsi"/>
              </w:rPr>
              <w:t>Nesse sentido, justifica-se a capacitação dos seguintes vereadores:</w:t>
            </w:r>
          </w:p>
          <w:p>
            <w:pPr>
              <w:pStyle w:val="BodyText"/>
              <w:numPr>
                <w:ilvl w:val="0"/>
                <w:numId w:val="7"/>
              </w:numPr>
              <w:tabs>
                <w:tab w:val="clear" w:pos="709"/>
                <w:tab w:val="left" w:pos="0" w:leader="none"/>
              </w:tabs>
              <w:suppressAutoHyphens w:val="true"/>
              <w:spacing w:lineRule="auto" w:line="276" w:before="0" w:after="0"/>
              <w:ind w:hanging="283" w:left="709"/>
              <w:rPr>
                <w:rFonts w:ascii="Times New Roman" w:hAnsi="Times New Roman" w:cs="Calibri" w:cstheme="minorHAnsi"/>
              </w:rPr>
            </w:pPr>
            <w:r>
              <w:rPr>
                <w:rFonts w:cs="Calibri" w:ascii="Times New Roman" w:hAnsi="Times New Roman" w:cstheme="minorHAnsi"/>
              </w:rPr>
              <w:t>Flavio Habitzreiter</w:t>
            </w:r>
          </w:p>
          <w:p>
            <w:pPr>
              <w:pStyle w:val="BodyText"/>
              <w:numPr>
                <w:ilvl w:val="0"/>
                <w:numId w:val="7"/>
              </w:numPr>
              <w:tabs>
                <w:tab w:val="clear" w:pos="709"/>
                <w:tab w:val="left" w:pos="0" w:leader="none"/>
              </w:tabs>
              <w:suppressAutoHyphens w:val="true"/>
              <w:spacing w:lineRule="auto" w:line="276" w:before="0" w:after="0"/>
              <w:ind w:hanging="283" w:left="709"/>
              <w:rPr>
                <w:rFonts w:ascii="Times New Roman" w:hAnsi="Times New Roman" w:cs="Calibri" w:cstheme="minorHAnsi"/>
              </w:rPr>
            </w:pPr>
            <w:r>
              <w:rPr>
                <w:rFonts w:cs="Calibri" w:ascii="Times New Roman" w:hAnsi="Times New Roman" w:cstheme="minorHAnsi"/>
              </w:rPr>
              <w:t>Ingomar Sandtner</w:t>
            </w:r>
          </w:p>
          <w:p>
            <w:pPr>
              <w:pStyle w:val="BodyText"/>
              <w:numPr>
                <w:ilvl w:val="0"/>
                <w:numId w:val="7"/>
              </w:numPr>
              <w:tabs>
                <w:tab w:val="clear" w:pos="709"/>
                <w:tab w:val="left" w:pos="0" w:leader="none"/>
              </w:tabs>
              <w:suppressAutoHyphens w:val="true"/>
              <w:spacing w:lineRule="auto" w:line="276" w:before="0" w:after="0"/>
              <w:ind w:hanging="283" w:left="709"/>
              <w:rPr>
                <w:rFonts w:ascii="Times New Roman" w:hAnsi="Times New Roman" w:cs="Calibri" w:cstheme="minorHAnsi"/>
              </w:rPr>
            </w:pPr>
            <w:r>
              <w:rPr>
                <w:rFonts w:cs="Calibri" w:ascii="Times New Roman" w:hAnsi="Times New Roman" w:cstheme="minorHAnsi"/>
              </w:rPr>
              <w:t>Luis Carlos Costa</w:t>
            </w:r>
          </w:p>
          <w:p>
            <w:pPr>
              <w:pStyle w:val="BodyText"/>
              <w:numPr>
                <w:ilvl w:val="0"/>
                <w:numId w:val="7"/>
              </w:numPr>
              <w:tabs>
                <w:tab w:val="clear" w:pos="709"/>
                <w:tab w:val="left" w:pos="0" w:leader="none"/>
              </w:tabs>
              <w:suppressAutoHyphens w:val="true"/>
              <w:spacing w:lineRule="auto" w:line="276" w:before="0" w:after="283"/>
              <w:ind w:hanging="283" w:left="709"/>
              <w:rPr>
                <w:rFonts w:cs="Calibri" w:cstheme="minorHAnsi"/>
              </w:rPr>
            </w:pPr>
            <w:r>
              <w:rPr>
                <w:rFonts w:cs="Calibri" w:ascii="Times New Roman" w:hAnsi="Times New Roman" w:cstheme="minorHAnsi"/>
              </w:rPr>
              <w:t>Osvaldir José Urnau</w:t>
            </w:r>
          </w:p>
        </w:tc>
      </w:tr>
      <w:tr>
        <w:trPr>
          <w:trHeight w:val="2757" w:hRule="atLeast"/>
        </w:trPr>
        <w:tc>
          <w:tcPr>
            <w:tcW w:w="9379"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3. Descrições e quantidades</w:t>
            </w:r>
          </w:p>
          <w:tbl>
            <w:tblPr>
              <w:tblW w:w="9172" w:type="dxa"/>
              <w:jc w:val="left"/>
              <w:tblInd w:w="9" w:type="dxa"/>
              <w:tblLayout w:type="fixed"/>
              <w:tblCellMar>
                <w:top w:w="100" w:type="dxa"/>
                <w:left w:w="100" w:type="dxa"/>
                <w:bottom w:w="100" w:type="dxa"/>
                <w:right w:w="100" w:type="dxa"/>
              </w:tblCellMar>
              <w:tblLook w:firstRow="0" w:noVBand="1" w:lastRow="0" w:firstColumn="0" w:lastColumn="0" w:noHBand="1" w:val="0600"/>
            </w:tblPr>
            <w:tblGrid>
              <w:gridCol w:w="775"/>
              <w:gridCol w:w="3638"/>
              <w:gridCol w:w="1138"/>
              <w:gridCol w:w="1070"/>
              <w:gridCol w:w="1292"/>
              <w:gridCol w:w="1258"/>
            </w:tblGrid>
            <w:tr>
              <w:trPr>
                <w:trHeight w:val="845" w:hRule="atLeast"/>
              </w:trPr>
              <w:tc>
                <w:tcPr>
                  <w:tcW w:w="7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bCs/>
                      <w:sz w:val="20"/>
                      <w:szCs w:val="20"/>
                    </w:rPr>
                    <w:t>ITEM</w:t>
                  </w:r>
                </w:p>
              </w:tc>
              <w:tc>
                <w:tcPr>
                  <w:tcW w:w="3638" w:type="dxa"/>
                  <w:tcBorders>
                    <w:top w:val="single" w:sz="8" w:space="0" w:color="000000"/>
                    <w:bottom w:val="single" w:sz="8" w:space="0" w:color="000000"/>
                    <w:right w:val="single" w:sz="4" w:space="0" w:color="000000"/>
                  </w:tcBorders>
                </w:tcPr>
                <w:p>
                  <w:pPr>
                    <w:pStyle w:val="Normal"/>
                    <w:widowControl w:val="false"/>
                    <w:spacing w:lineRule="auto" w:line="276" w:before="120" w:after="120"/>
                    <w:jc w:val="center"/>
                    <w:rPr/>
                  </w:pPr>
                  <w:r>
                    <w:rPr>
                      <w:rFonts w:eastAsia="Times New Roman" w:cs="Calibri" w:cstheme="minorHAnsi"/>
                      <w:b/>
                      <w:sz w:val="20"/>
                      <w:szCs w:val="20"/>
                    </w:rPr>
                    <w:t>DESCRIÇÃO/</w:t>
                  </w:r>
                </w:p>
                <w:p>
                  <w:pPr>
                    <w:pStyle w:val="Normal"/>
                    <w:widowControl w:val="false"/>
                    <w:spacing w:lineRule="auto" w:line="276" w:before="120" w:after="120"/>
                    <w:jc w:val="center"/>
                    <w:rPr/>
                  </w:pPr>
                  <w:r>
                    <w:rPr>
                      <w:rFonts w:eastAsia="Times New Roman" w:cs="Calibri" w:cstheme="minorHAnsi"/>
                      <w:b/>
                      <w:sz w:val="20"/>
                      <w:szCs w:val="20"/>
                    </w:rPr>
                    <w:t>ESPECIFICAÇÃO</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pPr>
                  <w:r>
                    <w:rPr>
                      <w:b/>
                      <w:sz w:val="20"/>
                      <w:szCs w:val="20"/>
                    </w:rPr>
                    <w:t>UNID. MEDIDA</w:t>
                  </w:r>
                </w:p>
              </w:tc>
              <w:tc>
                <w:tcPr>
                  <w:tcW w:w="107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sz w:val="20"/>
                      <w:szCs w:val="20"/>
                    </w:rPr>
                    <w:t>QUANT.</w:t>
                  </w:r>
                </w:p>
              </w:tc>
              <w:tc>
                <w:tcPr>
                  <w:tcW w:w="1292" w:type="dxa"/>
                  <w:tcBorders>
                    <w:top w:val="single" w:sz="8" w:space="0" w:color="000000"/>
                    <w:bottom w:val="single" w:sz="8" w:space="0" w:color="000000"/>
                  </w:tcBorders>
                </w:tcPr>
                <w:p>
                  <w:pPr>
                    <w:pStyle w:val="Normal"/>
                    <w:widowControl w:val="false"/>
                    <w:spacing w:lineRule="auto" w:line="276" w:before="120" w:after="120"/>
                    <w:jc w:val="center"/>
                    <w:rPr/>
                  </w:pPr>
                  <w:r>
                    <w:rPr>
                      <w:rFonts w:eastAsia="Times New Roman" w:cs="Calibri" w:cstheme="minorHAnsi"/>
                      <w:b/>
                      <w:sz w:val="20"/>
                      <w:szCs w:val="20"/>
                    </w:rPr>
                    <w:t>Valor Unitário</w:t>
                  </w:r>
                </w:p>
              </w:tc>
              <w:tc>
                <w:tcPr>
                  <w:tcW w:w="1258" w:type="dxa"/>
                  <w:tcBorders>
                    <w:top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b/>
                      <w:bCs/>
                      <w:sz w:val="20"/>
                      <w:szCs w:val="20"/>
                    </w:rPr>
                    <w:t>Valor</w:t>
                  </w:r>
                </w:p>
                <w:p>
                  <w:pPr>
                    <w:pStyle w:val="Normal"/>
                    <w:widowControl w:val="false"/>
                    <w:spacing w:lineRule="auto" w:line="276" w:before="120" w:after="120"/>
                    <w:jc w:val="center"/>
                    <w:rPr/>
                  </w:pPr>
                  <w:r>
                    <w:rPr>
                      <w:b/>
                      <w:bCs/>
                      <w:sz w:val="20"/>
                      <w:szCs w:val="20"/>
                    </w:rPr>
                    <w:t>Total</w:t>
                  </w:r>
                </w:p>
              </w:tc>
            </w:tr>
            <w:tr>
              <w:trPr>
                <w:trHeight w:val="222" w:hRule="atLeast"/>
              </w:trPr>
              <w:tc>
                <w:tcPr>
                  <w:tcW w:w="775" w:type="dxa"/>
                  <w:tcBorders>
                    <w:left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bCs/>
                      <w:sz w:val="20"/>
                      <w:szCs w:val="20"/>
                    </w:rPr>
                    <w:t>1</w:t>
                  </w:r>
                </w:p>
              </w:tc>
              <w:tc>
                <w:tcPr>
                  <w:tcW w:w="3638" w:type="dxa"/>
                  <w:tcBorders>
                    <w:bottom w:val="single" w:sz="8" w:space="0" w:color="000000"/>
                    <w:right w:val="single" w:sz="4" w:space="0" w:color="000000"/>
                  </w:tcBorders>
                </w:tcPr>
                <w:p>
                  <w:pPr>
                    <w:pStyle w:val="Heading2"/>
                    <w:keepNext w:val="true"/>
                    <w:widowControl/>
                    <w:suppressAutoHyphens w:val="true"/>
                    <w:overflowPunct w:val="false"/>
                    <w:bidi w:val="0"/>
                    <w:spacing w:lineRule="auto" w:line="276" w:before="0" w:after="0"/>
                    <w:ind w:hanging="0" w:left="113" w:right="0"/>
                    <w:jc w:val="both"/>
                    <w:rPr>
                      <w:rFonts w:ascii="Times New Roman" w:hAnsi="Times New Roman"/>
                      <w:color w:val="auto"/>
                      <w:sz w:val="20"/>
                      <w:szCs w:val="20"/>
                    </w:rPr>
                  </w:pPr>
                  <w:r>
                    <w:rPr>
                      <w:rStyle w:val="Strong"/>
                      <w:i w:val="false"/>
                      <w:caps w:val="false"/>
                      <w:smallCaps w:val="false"/>
                      <w:color w:val="000000"/>
                      <w:spacing w:val="0"/>
                      <w:sz w:val="20"/>
                      <w:szCs w:val="20"/>
                    </w:rPr>
                    <w:t>Conteúdo Programático:</w:t>
                  </w:r>
                </w:p>
                <w:p>
                  <w:pPr>
                    <w:pStyle w:val="BodyText"/>
                    <w:spacing w:lineRule="auto" w:line="276" w:before="0" w:after="0"/>
                    <w:ind w:hanging="0" w:left="0" w:right="0"/>
                    <w:rPr>
                      <w:rFonts w:ascii="Times New Roman" w:hAnsi="Times New Roman" w:cs="Times New Roman"/>
                      <w:color w:val="000000"/>
                      <w:sz w:val="20"/>
                      <w:szCs w:val="20"/>
                    </w:rPr>
                  </w:pPr>
                  <w:r>
                    <w:rPr>
                      <w:rStyle w:val="Strong"/>
                      <w:rFonts w:cs="Times New Roman" w:ascii="Times New Roman" w:hAnsi="Times New Roman"/>
                      <w:color w:val="000000"/>
                      <w:sz w:val="20"/>
                      <w:szCs w:val="20"/>
                    </w:rPr>
                    <w:t>1. Orientações para Novos Gestores</w:t>
                  </w:r>
                </w:p>
                <w:p>
                  <w:pPr>
                    <w:pStyle w:val="BodyText"/>
                    <w:spacing w:lineRule="auto" w:line="276" w:before="0" w:after="0"/>
                    <w:ind w:hanging="0" w:left="0" w:right="0"/>
                    <w:rPr>
                      <w:rFonts w:ascii="Times New Roman" w:hAnsi="Times New Roman" w:cs="Times New Roman"/>
                      <w:color w:val="000000"/>
                      <w:sz w:val="20"/>
                      <w:szCs w:val="20"/>
                    </w:rPr>
                  </w:pPr>
                  <w:r>
                    <w:rPr>
                      <w:rFonts w:cs="Times New Roman" w:ascii="Times New Roman" w:hAnsi="Times New Roman"/>
                      <w:color w:val="000000"/>
                      <w:sz w:val="20"/>
                      <w:szCs w:val="20"/>
                    </w:rPr>
                    <w:t>Este tema deverá abordar as principais responsabilidades de um gestor público, focando em princípios administrativos como legalidade, impessoalidade, moralidade, publicidade e eficiência:</w:t>
                  </w:r>
                </w:p>
                <w:p>
                  <w:pPr>
                    <w:pStyle w:val="BodyText"/>
                    <w:numPr>
                      <w:ilvl w:val="0"/>
                      <w:numId w:val="1"/>
                    </w:numPr>
                    <w:tabs>
                      <w:tab w:val="clear" w:pos="709"/>
                      <w:tab w:val="left" w:pos="0" w:leader="none"/>
                    </w:tabs>
                    <w:spacing w:lineRule="auto" w:line="276"/>
                    <w:ind w:hanging="283" w:left="709" w:right="0"/>
                    <w:rPr>
                      <w:rFonts w:ascii="Times New Roman" w:hAnsi="Times New Roman" w:cs="Times New Roman"/>
                      <w:color w:val="000000"/>
                      <w:sz w:val="20"/>
                      <w:szCs w:val="20"/>
                    </w:rPr>
                  </w:pPr>
                  <w:r>
                    <w:rPr>
                      <w:rStyle w:val="Emphasis"/>
                      <w:rFonts w:cs="Times New Roman" w:ascii="Times New Roman" w:hAnsi="Times New Roman"/>
                      <w:color w:val="000000"/>
                      <w:sz w:val="20"/>
                      <w:szCs w:val="20"/>
                    </w:rPr>
                    <w:t>Definições de diretrizes para a tomada de decisão informada.</w:t>
                  </w:r>
                </w:p>
                <w:p>
                  <w:pPr>
                    <w:pStyle w:val="BodyText"/>
                    <w:numPr>
                      <w:ilvl w:val="0"/>
                      <w:numId w:val="1"/>
                    </w:numPr>
                    <w:tabs>
                      <w:tab w:val="clear" w:pos="709"/>
                      <w:tab w:val="left" w:pos="0" w:leader="none"/>
                    </w:tabs>
                    <w:spacing w:lineRule="auto" w:line="276"/>
                    <w:ind w:hanging="283" w:left="709" w:right="0"/>
                    <w:rPr>
                      <w:rFonts w:ascii="Times New Roman" w:hAnsi="Times New Roman" w:cs="Times New Roman"/>
                      <w:color w:val="000000"/>
                      <w:sz w:val="20"/>
                      <w:szCs w:val="20"/>
                    </w:rPr>
                  </w:pPr>
                  <w:r>
                    <w:rPr>
                      <w:rStyle w:val="Emphasis"/>
                      <w:rFonts w:cs="Times New Roman" w:ascii="Times New Roman" w:hAnsi="Times New Roman"/>
                      <w:color w:val="000000"/>
                      <w:sz w:val="20"/>
                      <w:szCs w:val="20"/>
                    </w:rPr>
                    <w:t>Estratégias de liderança e gestão de equipes.</w:t>
                  </w:r>
                </w:p>
                <w:p>
                  <w:pPr>
                    <w:pStyle w:val="BodyText"/>
                    <w:numPr>
                      <w:ilvl w:val="0"/>
                      <w:numId w:val="1"/>
                    </w:numPr>
                    <w:tabs>
                      <w:tab w:val="clear" w:pos="709"/>
                      <w:tab w:val="left" w:pos="0" w:leader="none"/>
                    </w:tabs>
                    <w:spacing w:lineRule="auto" w:line="276"/>
                    <w:ind w:hanging="283" w:left="709" w:right="0"/>
                    <w:rPr>
                      <w:rFonts w:ascii="Times New Roman" w:hAnsi="Times New Roman" w:cs="Times New Roman"/>
                      <w:color w:val="000000"/>
                      <w:sz w:val="20"/>
                      <w:szCs w:val="20"/>
                    </w:rPr>
                  </w:pPr>
                  <w:r>
                    <w:rPr>
                      <w:rStyle w:val="Emphasis"/>
                      <w:rFonts w:cs="Times New Roman" w:ascii="Times New Roman" w:hAnsi="Times New Roman"/>
                      <w:color w:val="000000"/>
                      <w:sz w:val="20"/>
                      <w:szCs w:val="20"/>
                    </w:rPr>
                    <w:t>Ferramentas de planejamento e avaliação de políticas públicas.</w:t>
                  </w:r>
                </w:p>
                <w:p>
                  <w:pPr>
                    <w:pStyle w:val="BodyText"/>
                    <w:numPr>
                      <w:ilvl w:val="0"/>
                      <w:numId w:val="1"/>
                    </w:numPr>
                    <w:tabs>
                      <w:tab w:val="clear" w:pos="709"/>
                      <w:tab w:val="left" w:pos="0" w:leader="none"/>
                    </w:tabs>
                    <w:spacing w:lineRule="auto" w:line="276" w:before="0" w:after="0"/>
                    <w:ind w:hanging="283" w:left="709" w:right="0"/>
                    <w:rPr>
                      <w:rFonts w:ascii="Times New Roman" w:hAnsi="Times New Roman" w:cs="Times New Roman"/>
                      <w:color w:val="000000"/>
                      <w:sz w:val="20"/>
                      <w:szCs w:val="20"/>
                    </w:rPr>
                  </w:pPr>
                  <w:r>
                    <w:rPr>
                      <w:rStyle w:val="Emphasis"/>
                      <w:rFonts w:cs="Times New Roman" w:ascii="Times New Roman" w:hAnsi="Times New Roman"/>
                      <w:color w:val="000000"/>
                      <w:sz w:val="20"/>
                      <w:szCs w:val="20"/>
                    </w:rPr>
                    <w:t>Gestão de riscos e conformidade regulatória.</w:t>
                  </w:r>
                </w:p>
                <w:p>
                  <w:pPr>
                    <w:pStyle w:val="BodyText"/>
                    <w:spacing w:lineRule="auto" w:line="276" w:before="0" w:after="0"/>
                    <w:ind w:hanging="0" w:left="0" w:right="0"/>
                    <w:rPr>
                      <w:rFonts w:ascii="Times New Roman" w:hAnsi="Times New Roman" w:cs="Times New Roman"/>
                      <w:color w:val="000000"/>
                      <w:sz w:val="20"/>
                      <w:szCs w:val="20"/>
                    </w:rPr>
                  </w:pPr>
                  <w:r>
                    <w:rPr>
                      <w:rStyle w:val="Strong"/>
                      <w:rFonts w:cs="Times New Roman" w:ascii="Times New Roman" w:hAnsi="Times New Roman"/>
                      <w:color w:val="000000"/>
                      <w:sz w:val="20"/>
                      <w:szCs w:val="20"/>
                    </w:rPr>
                    <w:t>2. Principais Apontes do TCE (Tribunal de Contas do Estado)</w:t>
                  </w:r>
                </w:p>
                <w:p>
                  <w:pPr>
                    <w:pStyle w:val="BodyText"/>
                    <w:spacing w:lineRule="auto" w:line="276" w:before="0" w:after="0"/>
                    <w:ind w:hanging="0" w:left="0" w:right="0"/>
                    <w:rPr>
                      <w:rFonts w:ascii="Times New Roman" w:hAnsi="Times New Roman" w:cs="Times New Roman"/>
                      <w:color w:val="000000"/>
                      <w:sz w:val="20"/>
                      <w:szCs w:val="20"/>
                    </w:rPr>
                  </w:pPr>
                  <w:r>
                    <w:rPr>
                      <w:rFonts w:cs="Times New Roman" w:ascii="Times New Roman" w:hAnsi="Times New Roman"/>
                      <w:color w:val="000000"/>
                      <w:sz w:val="20"/>
                      <w:szCs w:val="20"/>
                    </w:rPr>
                    <w:t>Explorar o papel do TCE na fiscalização contábil, financeira, orçamentária, operacional e patrimonial do estado:</w:t>
                  </w:r>
                </w:p>
                <w:p>
                  <w:pPr>
                    <w:pStyle w:val="BodyText"/>
                    <w:numPr>
                      <w:ilvl w:val="0"/>
                      <w:numId w:val="2"/>
                    </w:numPr>
                    <w:tabs>
                      <w:tab w:val="clear" w:pos="709"/>
                      <w:tab w:val="left" w:pos="0" w:leader="none"/>
                    </w:tabs>
                    <w:spacing w:lineRule="auto" w:line="276"/>
                    <w:ind w:hanging="283" w:left="709" w:right="0"/>
                    <w:rPr>
                      <w:rFonts w:ascii="Times New Roman" w:hAnsi="Times New Roman" w:cs="Times New Roman"/>
                      <w:color w:val="000000"/>
                      <w:sz w:val="20"/>
                      <w:szCs w:val="20"/>
                    </w:rPr>
                  </w:pPr>
                  <w:r>
                    <w:rPr>
                      <w:rStyle w:val="Emphasis"/>
                      <w:rFonts w:cs="Times New Roman" w:ascii="Times New Roman" w:hAnsi="Times New Roman"/>
                      <w:color w:val="000000"/>
                      <w:sz w:val="20"/>
                      <w:szCs w:val="20"/>
                    </w:rPr>
                    <w:t>Métodos de auditoria e relatórios frequentes.</w:t>
                  </w:r>
                </w:p>
                <w:p>
                  <w:pPr>
                    <w:pStyle w:val="BodyText"/>
                    <w:numPr>
                      <w:ilvl w:val="0"/>
                      <w:numId w:val="2"/>
                    </w:numPr>
                    <w:tabs>
                      <w:tab w:val="clear" w:pos="709"/>
                      <w:tab w:val="left" w:pos="0" w:leader="none"/>
                    </w:tabs>
                    <w:spacing w:lineRule="auto" w:line="276"/>
                    <w:ind w:hanging="283" w:left="709" w:right="0"/>
                    <w:rPr>
                      <w:rFonts w:ascii="Times New Roman" w:hAnsi="Times New Roman" w:cs="Times New Roman"/>
                      <w:color w:val="000000"/>
                      <w:sz w:val="20"/>
                      <w:szCs w:val="20"/>
                    </w:rPr>
                  </w:pPr>
                  <w:r>
                    <w:rPr>
                      <w:rStyle w:val="Emphasis"/>
                      <w:rFonts w:cs="Times New Roman" w:ascii="Times New Roman" w:hAnsi="Times New Roman"/>
                      <w:color w:val="000000"/>
                      <w:sz w:val="20"/>
                      <w:szCs w:val="20"/>
                    </w:rPr>
                    <w:t>Interpretação de dados e indicadores de conformidade.</w:t>
                  </w:r>
                </w:p>
                <w:p>
                  <w:pPr>
                    <w:pStyle w:val="BodyText"/>
                    <w:numPr>
                      <w:ilvl w:val="0"/>
                      <w:numId w:val="2"/>
                    </w:numPr>
                    <w:tabs>
                      <w:tab w:val="clear" w:pos="709"/>
                      <w:tab w:val="left" w:pos="0" w:leader="none"/>
                    </w:tabs>
                    <w:spacing w:lineRule="auto" w:line="276"/>
                    <w:ind w:hanging="283" w:left="709" w:right="0"/>
                    <w:rPr>
                      <w:rFonts w:ascii="Times New Roman" w:hAnsi="Times New Roman" w:cs="Times New Roman"/>
                      <w:color w:val="000000"/>
                      <w:sz w:val="20"/>
                      <w:szCs w:val="20"/>
                    </w:rPr>
                  </w:pPr>
                  <w:r>
                    <w:rPr>
                      <w:rStyle w:val="Emphasis"/>
                      <w:rFonts w:cs="Times New Roman" w:ascii="Times New Roman" w:hAnsi="Times New Roman"/>
                      <w:color w:val="000000"/>
                      <w:sz w:val="20"/>
                      <w:szCs w:val="20"/>
                    </w:rPr>
                    <w:t>Consequências práticas de pareceres e acórdãos emitidos pelo TCE.</w:t>
                  </w:r>
                </w:p>
                <w:p>
                  <w:pPr>
                    <w:pStyle w:val="BodyText"/>
                    <w:numPr>
                      <w:ilvl w:val="0"/>
                      <w:numId w:val="2"/>
                    </w:numPr>
                    <w:tabs>
                      <w:tab w:val="clear" w:pos="709"/>
                      <w:tab w:val="left" w:pos="0" w:leader="none"/>
                    </w:tabs>
                    <w:spacing w:lineRule="auto" w:line="276" w:before="0" w:after="0"/>
                    <w:ind w:hanging="283" w:left="709" w:right="0"/>
                    <w:rPr>
                      <w:rFonts w:ascii="Times New Roman" w:hAnsi="Times New Roman" w:cs="Times New Roman"/>
                      <w:color w:val="000000"/>
                      <w:sz w:val="20"/>
                      <w:szCs w:val="20"/>
                    </w:rPr>
                  </w:pPr>
                  <w:r>
                    <w:rPr>
                      <w:rStyle w:val="Emphasis"/>
                      <w:rFonts w:cs="Times New Roman" w:ascii="Times New Roman" w:hAnsi="Times New Roman"/>
                      <w:color w:val="000000"/>
                      <w:sz w:val="20"/>
                      <w:szCs w:val="20"/>
                    </w:rPr>
                    <w:t>Recomendações sobre boas práticas para melhorar a transparência e accountability.</w:t>
                  </w:r>
                </w:p>
                <w:p>
                  <w:pPr>
                    <w:pStyle w:val="BodyText"/>
                    <w:spacing w:lineRule="auto" w:line="276" w:before="0" w:after="0"/>
                    <w:ind w:hanging="0" w:left="0" w:right="0"/>
                    <w:rPr>
                      <w:rFonts w:ascii="Times New Roman" w:hAnsi="Times New Roman" w:cs="Times New Roman"/>
                      <w:color w:val="000000"/>
                      <w:sz w:val="20"/>
                      <w:szCs w:val="20"/>
                    </w:rPr>
                  </w:pPr>
                  <w:r>
                    <w:rPr>
                      <w:rStyle w:val="Strong"/>
                      <w:rFonts w:cs="Times New Roman" w:ascii="Times New Roman" w:hAnsi="Times New Roman"/>
                      <w:color w:val="000000"/>
                      <w:sz w:val="20"/>
                      <w:szCs w:val="20"/>
                    </w:rPr>
                    <w:t>3. Lei de Improbidade Administrativa</w:t>
                  </w:r>
                </w:p>
                <w:p>
                  <w:pPr>
                    <w:pStyle w:val="BodyText"/>
                    <w:spacing w:lineRule="auto" w:line="276" w:before="0" w:after="0"/>
                    <w:ind w:hanging="0" w:left="0" w:right="0"/>
                    <w:rPr>
                      <w:rFonts w:ascii="Times New Roman" w:hAnsi="Times New Roman" w:cs="Times New Roman"/>
                      <w:color w:val="000000"/>
                      <w:sz w:val="20"/>
                      <w:szCs w:val="20"/>
                    </w:rPr>
                  </w:pPr>
                  <w:r>
                    <w:rPr>
                      <w:rFonts w:cs="Times New Roman" w:ascii="Times New Roman" w:hAnsi="Times New Roman"/>
                      <w:color w:val="000000"/>
                      <w:sz w:val="20"/>
                      <w:szCs w:val="20"/>
                    </w:rPr>
                    <w:t>Aprofundamento no entendimento da Lei de Improbidade, suas implicações e sanções:</w:t>
                  </w:r>
                </w:p>
                <w:p>
                  <w:pPr>
                    <w:pStyle w:val="BodyText"/>
                    <w:numPr>
                      <w:ilvl w:val="0"/>
                      <w:numId w:val="3"/>
                    </w:numPr>
                    <w:tabs>
                      <w:tab w:val="clear" w:pos="709"/>
                      <w:tab w:val="left" w:pos="0" w:leader="none"/>
                    </w:tabs>
                    <w:spacing w:lineRule="auto" w:line="276"/>
                    <w:ind w:hanging="283" w:left="709" w:right="0"/>
                    <w:rPr>
                      <w:rFonts w:ascii="Times New Roman" w:hAnsi="Times New Roman" w:cs="Times New Roman"/>
                      <w:color w:val="000000"/>
                      <w:sz w:val="20"/>
                      <w:szCs w:val="20"/>
                    </w:rPr>
                  </w:pPr>
                  <w:r>
                    <w:rPr>
                      <w:rStyle w:val="Emphasis"/>
                      <w:rFonts w:cs="Times New Roman" w:ascii="Times New Roman" w:hAnsi="Times New Roman"/>
                      <w:color w:val="000000"/>
                      <w:sz w:val="20"/>
                      <w:szCs w:val="20"/>
                    </w:rPr>
                    <w:t>Definições de atos de improbidade: enriquecimento ilícito, danos ao erário e violação dos princípios da administração pública.</w:t>
                  </w:r>
                </w:p>
                <w:p>
                  <w:pPr>
                    <w:pStyle w:val="BodyText"/>
                    <w:numPr>
                      <w:ilvl w:val="0"/>
                      <w:numId w:val="3"/>
                    </w:numPr>
                    <w:tabs>
                      <w:tab w:val="clear" w:pos="709"/>
                      <w:tab w:val="left" w:pos="0" w:leader="none"/>
                    </w:tabs>
                    <w:spacing w:lineRule="auto" w:line="276"/>
                    <w:ind w:hanging="283" w:left="709" w:right="0"/>
                    <w:rPr>
                      <w:rFonts w:ascii="Times New Roman" w:hAnsi="Times New Roman" w:cs="Times New Roman"/>
                      <w:color w:val="000000"/>
                      <w:sz w:val="20"/>
                      <w:szCs w:val="20"/>
                    </w:rPr>
                  </w:pPr>
                  <w:r>
                    <w:rPr>
                      <w:rStyle w:val="Emphasis"/>
                      <w:rFonts w:cs="Times New Roman" w:ascii="Times New Roman" w:hAnsi="Times New Roman"/>
                      <w:color w:val="000000"/>
                      <w:sz w:val="20"/>
                      <w:szCs w:val="20"/>
                    </w:rPr>
                    <w:t>Processos administrativos e judiciais associados.</w:t>
                  </w:r>
                </w:p>
                <w:p>
                  <w:pPr>
                    <w:pStyle w:val="BodyText"/>
                    <w:numPr>
                      <w:ilvl w:val="0"/>
                      <w:numId w:val="3"/>
                    </w:numPr>
                    <w:tabs>
                      <w:tab w:val="clear" w:pos="709"/>
                      <w:tab w:val="left" w:pos="0" w:leader="none"/>
                    </w:tabs>
                    <w:spacing w:lineRule="auto" w:line="276"/>
                    <w:ind w:hanging="283" w:left="709" w:right="0"/>
                    <w:rPr>
                      <w:rFonts w:ascii="Times New Roman" w:hAnsi="Times New Roman" w:cs="Times New Roman"/>
                      <w:color w:val="000000"/>
                      <w:sz w:val="20"/>
                      <w:szCs w:val="20"/>
                    </w:rPr>
                  </w:pPr>
                  <w:r>
                    <w:rPr>
                      <w:rStyle w:val="Emphasis"/>
                      <w:rFonts w:cs="Times New Roman" w:ascii="Times New Roman" w:hAnsi="Times New Roman"/>
                      <w:color w:val="000000"/>
                      <w:sz w:val="20"/>
                      <w:szCs w:val="20"/>
                    </w:rPr>
                    <w:t>Políticas para prevenção e detecção de condutas ímprobas.</w:t>
                  </w:r>
                </w:p>
                <w:p>
                  <w:pPr>
                    <w:pStyle w:val="BodyText"/>
                    <w:numPr>
                      <w:ilvl w:val="0"/>
                      <w:numId w:val="3"/>
                    </w:numPr>
                    <w:tabs>
                      <w:tab w:val="clear" w:pos="709"/>
                      <w:tab w:val="left" w:pos="0" w:leader="none"/>
                    </w:tabs>
                    <w:spacing w:lineRule="auto" w:line="276" w:before="0" w:after="0"/>
                    <w:ind w:hanging="283" w:left="709" w:right="0"/>
                    <w:rPr>
                      <w:rFonts w:ascii="Times New Roman" w:hAnsi="Times New Roman" w:cs="Times New Roman"/>
                      <w:color w:val="000000"/>
                      <w:sz w:val="20"/>
                      <w:szCs w:val="20"/>
                    </w:rPr>
                  </w:pPr>
                  <w:r>
                    <w:rPr>
                      <w:rStyle w:val="Emphasis"/>
                      <w:rFonts w:cs="Times New Roman" w:ascii="Times New Roman" w:hAnsi="Times New Roman"/>
                      <w:color w:val="000000"/>
                      <w:sz w:val="20"/>
                      <w:szCs w:val="20"/>
                    </w:rPr>
                    <w:t>Estudos de casos e jurisprudência atualizada.</w:t>
                  </w:r>
                </w:p>
                <w:p>
                  <w:pPr>
                    <w:pStyle w:val="BodyText"/>
                    <w:spacing w:lineRule="auto" w:line="276" w:before="0" w:after="0"/>
                    <w:ind w:hanging="0" w:left="0" w:right="0"/>
                    <w:rPr>
                      <w:rFonts w:ascii="Times New Roman" w:hAnsi="Times New Roman" w:cs="Times New Roman"/>
                      <w:color w:val="000000"/>
                      <w:sz w:val="20"/>
                      <w:szCs w:val="20"/>
                    </w:rPr>
                  </w:pPr>
                  <w:r>
                    <w:rPr>
                      <w:rStyle w:val="Strong"/>
                      <w:rFonts w:cs="Times New Roman" w:ascii="Times New Roman" w:hAnsi="Times New Roman"/>
                      <w:color w:val="000000"/>
                      <w:sz w:val="20"/>
                      <w:szCs w:val="20"/>
                    </w:rPr>
                    <w:t>4. Imunidade Parlamentar</w:t>
                  </w:r>
                </w:p>
                <w:p>
                  <w:pPr>
                    <w:pStyle w:val="BodyText"/>
                    <w:spacing w:lineRule="auto" w:line="276" w:before="0" w:after="0"/>
                    <w:ind w:hanging="0" w:left="0" w:right="0"/>
                    <w:rPr>
                      <w:rFonts w:ascii="Times New Roman" w:hAnsi="Times New Roman" w:cs="Times New Roman"/>
                      <w:color w:val="000000"/>
                      <w:sz w:val="20"/>
                      <w:szCs w:val="20"/>
                    </w:rPr>
                  </w:pPr>
                  <w:r>
                    <w:rPr>
                      <w:rFonts w:cs="Times New Roman" w:ascii="Times New Roman" w:hAnsi="Times New Roman"/>
                      <w:color w:val="000000"/>
                      <w:sz w:val="20"/>
                      <w:szCs w:val="20"/>
                    </w:rPr>
                    <w:t>Detalhamento do conceito de imunidade parlamentar, incluindo suas limitações e proteções:</w:t>
                  </w:r>
                </w:p>
                <w:p>
                  <w:pPr>
                    <w:pStyle w:val="BodyText"/>
                    <w:numPr>
                      <w:ilvl w:val="0"/>
                      <w:numId w:val="4"/>
                    </w:numPr>
                    <w:tabs>
                      <w:tab w:val="clear" w:pos="709"/>
                      <w:tab w:val="left" w:pos="0" w:leader="none"/>
                    </w:tabs>
                    <w:spacing w:lineRule="auto" w:line="276"/>
                    <w:ind w:hanging="283" w:left="709" w:right="0"/>
                    <w:rPr>
                      <w:rFonts w:ascii="Times New Roman" w:hAnsi="Times New Roman" w:cs="Times New Roman"/>
                      <w:color w:val="000000"/>
                      <w:sz w:val="20"/>
                      <w:szCs w:val="20"/>
                    </w:rPr>
                  </w:pPr>
                  <w:r>
                    <w:rPr>
                      <w:rStyle w:val="Emphasis"/>
                      <w:rFonts w:cs="Times New Roman" w:ascii="Times New Roman" w:hAnsi="Times New Roman"/>
                      <w:color w:val="000000"/>
                      <w:sz w:val="20"/>
                      <w:szCs w:val="20"/>
                    </w:rPr>
                    <w:t>Distinção entre imunidade material e imunidade formal.</w:t>
                  </w:r>
                </w:p>
                <w:p>
                  <w:pPr>
                    <w:pStyle w:val="BodyText"/>
                    <w:numPr>
                      <w:ilvl w:val="0"/>
                      <w:numId w:val="4"/>
                    </w:numPr>
                    <w:tabs>
                      <w:tab w:val="clear" w:pos="709"/>
                      <w:tab w:val="left" w:pos="0" w:leader="none"/>
                    </w:tabs>
                    <w:spacing w:lineRule="auto" w:line="276"/>
                    <w:ind w:hanging="283" w:left="709" w:right="0"/>
                    <w:rPr>
                      <w:rFonts w:ascii="Times New Roman" w:hAnsi="Times New Roman" w:cs="Times New Roman"/>
                      <w:color w:val="000000"/>
                      <w:sz w:val="20"/>
                      <w:szCs w:val="20"/>
                    </w:rPr>
                  </w:pPr>
                  <w:r>
                    <w:rPr>
                      <w:rStyle w:val="Emphasis"/>
                      <w:rFonts w:cs="Times New Roman" w:ascii="Times New Roman" w:hAnsi="Times New Roman"/>
                      <w:color w:val="000000"/>
                      <w:sz w:val="20"/>
                      <w:szCs w:val="20"/>
                    </w:rPr>
                    <w:t>Impacto sobre a liberdade de expressão e atuação política.</w:t>
                  </w:r>
                </w:p>
                <w:p>
                  <w:pPr>
                    <w:pStyle w:val="BodyText"/>
                    <w:numPr>
                      <w:ilvl w:val="0"/>
                      <w:numId w:val="4"/>
                    </w:numPr>
                    <w:tabs>
                      <w:tab w:val="clear" w:pos="709"/>
                      <w:tab w:val="left" w:pos="0" w:leader="none"/>
                    </w:tabs>
                    <w:spacing w:lineRule="auto" w:line="276"/>
                    <w:ind w:hanging="283" w:left="709" w:right="0"/>
                    <w:rPr>
                      <w:rFonts w:ascii="Times New Roman" w:hAnsi="Times New Roman" w:cs="Times New Roman"/>
                      <w:color w:val="000000"/>
                      <w:sz w:val="20"/>
                      <w:szCs w:val="20"/>
                    </w:rPr>
                  </w:pPr>
                  <w:r>
                    <w:rPr>
                      <w:rStyle w:val="Emphasis"/>
                      <w:rFonts w:cs="Times New Roman" w:ascii="Times New Roman" w:hAnsi="Times New Roman"/>
                      <w:color w:val="000000"/>
                      <w:sz w:val="20"/>
                      <w:szCs w:val="20"/>
                    </w:rPr>
                    <w:t>Análise de casos de jurisprudência relacionados.</w:t>
                  </w:r>
                </w:p>
                <w:p>
                  <w:pPr>
                    <w:pStyle w:val="BodyText"/>
                    <w:numPr>
                      <w:ilvl w:val="0"/>
                      <w:numId w:val="4"/>
                    </w:numPr>
                    <w:tabs>
                      <w:tab w:val="clear" w:pos="709"/>
                      <w:tab w:val="left" w:pos="0" w:leader="none"/>
                    </w:tabs>
                    <w:spacing w:lineRule="auto" w:line="276" w:before="0" w:after="0"/>
                    <w:ind w:hanging="283" w:left="709" w:right="0"/>
                    <w:rPr>
                      <w:rFonts w:ascii="Times New Roman" w:hAnsi="Times New Roman" w:cs="Times New Roman"/>
                      <w:color w:val="000000"/>
                      <w:sz w:val="20"/>
                      <w:szCs w:val="20"/>
                    </w:rPr>
                  </w:pPr>
                  <w:r>
                    <w:rPr>
                      <w:rStyle w:val="Emphasis"/>
                      <w:rFonts w:cs="Times New Roman" w:ascii="Times New Roman" w:hAnsi="Times New Roman"/>
                      <w:color w:val="000000"/>
                      <w:sz w:val="20"/>
                      <w:szCs w:val="20"/>
                    </w:rPr>
                    <w:t>Debates sobre reformas legislativas e interpretações judiciais recentes.</w:t>
                  </w:r>
                </w:p>
                <w:p>
                  <w:pPr>
                    <w:pStyle w:val="BodyText"/>
                    <w:spacing w:lineRule="auto" w:line="276" w:before="0" w:after="0"/>
                    <w:ind w:hanging="0" w:left="0" w:right="0"/>
                    <w:rPr>
                      <w:rFonts w:ascii="Times New Roman" w:hAnsi="Times New Roman" w:cs="Times New Roman"/>
                      <w:color w:val="000000"/>
                      <w:sz w:val="20"/>
                      <w:szCs w:val="20"/>
                    </w:rPr>
                  </w:pPr>
                  <w:r>
                    <w:rPr>
                      <w:rStyle w:val="Strong"/>
                      <w:rFonts w:cs="Times New Roman" w:ascii="Times New Roman" w:hAnsi="Times New Roman"/>
                      <w:color w:val="000000"/>
                      <w:sz w:val="20"/>
                      <w:szCs w:val="20"/>
                    </w:rPr>
                    <w:t>5. Captação de Recursos e Importância do Legislativo na Gestão</w:t>
                  </w:r>
                </w:p>
                <w:p>
                  <w:pPr>
                    <w:pStyle w:val="BodyText"/>
                    <w:spacing w:lineRule="auto" w:line="276" w:before="0" w:after="0"/>
                    <w:ind w:hanging="0" w:left="0" w:right="0"/>
                    <w:rPr>
                      <w:rFonts w:ascii="Times New Roman" w:hAnsi="Times New Roman" w:cs="Times New Roman"/>
                      <w:color w:val="000000"/>
                      <w:sz w:val="20"/>
                      <w:szCs w:val="20"/>
                    </w:rPr>
                  </w:pPr>
                  <w:r>
                    <w:rPr>
                      <w:rFonts w:cs="Times New Roman" w:ascii="Times New Roman" w:hAnsi="Times New Roman"/>
                      <w:color w:val="000000"/>
                      <w:sz w:val="20"/>
                      <w:szCs w:val="20"/>
                    </w:rPr>
                    <w:t>Este tema vai  abordar a contribuição do poder legislativo na gestão pública e captação de recursos:</w:t>
                  </w:r>
                </w:p>
                <w:p>
                  <w:pPr>
                    <w:pStyle w:val="BodyText"/>
                    <w:numPr>
                      <w:ilvl w:val="0"/>
                      <w:numId w:val="5"/>
                    </w:numPr>
                    <w:tabs>
                      <w:tab w:val="clear" w:pos="709"/>
                      <w:tab w:val="left" w:pos="0" w:leader="none"/>
                    </w:tabs>
                    <w:spacing w:lineRule="auto" w:line="276"/>
                    <w:ind w:hanging="283" w:left="709" w:right="0"/>
                    <w:rPr>
                      <w:rFonts w:ascii="Times New Roman" w:hAnsi="Times New Roman" w:cs="Times New Roman"/>
                      <w:color w:val="000000"/>
                      <w:sz w:val="20"/>
                      <w:szCs w:val="20"/>
                    </w:rPr>
                  </w:pPr>
                  <w:r>
                    <w:rPr>
                      <w:rStyle w:val="Emphasis"/>
                      <w:rFonts w:cs="Times New Roman" w:ascii="Times New Roman" w:hAnsi="Times New Roman"/>
                      <w:color w:val="000000"/>
                      <w:sz w:val="20"/>
                      <w:szCs w:val="20"/>
                    </w:rPr>
                    <w:t>Instrumentos legislativos para apoio à gestão fiscal.</w:t>
                  </w:r>
                </w:p>
                <w:p>
                  <w:pPr>
                    <w:pStyle w:val="BodyText"/>
                    <w:numPr>
                      <w:ilvl w:val="0"/>
                      <w:numId w:val="5"/>
                    </w:numPr>
                    <w:tabs>
                      <w:tab w:val="clear" w:pos="709"/>
                      <w:tab w:val="left" w:pos="0" w:leader="none"/>
                    </w:tabs>
                    <w:spacing w:lineRule="auto" w:line="276"/>
                    <w:ind w:hanging="283" w:left="709" w:right="0"/>
                    <w:rPr>
                      <w:rFonts w:ascii="Times New Roman" w:hAnsi="Times New Roman" w:cs="Times New Roman"/>
                      <w:color w:val="000000"/>
                      <w:sz w:val="20"/>
                      <w:szCs w:val="20"/>
                    </w:rPr>
                  </w:pPr>
                  <w:r>
                    <w:rPr>
                      <w:rStyle w:val="Emphasis"/>
                      <w:rFonts w:cs="Times New Roman" w:ascii="Times New Roman" w:hAnsi="Times New Roman"/>
                      <w:color w:val="000000"/>
                      <w:sz w:val="20"/>
                      <w:szCs w:val="20"/>
                    </w:rPr>
                    <w:t>Parcerias público-privadas e mecanismos de financiamento.</w:t>
                  </w:r>
                </w:p>
                <w:p>
                  <w:pPr>
                    <w:pStyle w:val="BodyText"/>
                    <w:numPr>
                      <w:ilvl w:val="0"/>
                      <w:numId w:val="5"/>
                    </w:numPr>
                    <w:tabs>
                      <w:tab w:val="clear" w:pos="709"/>
                      <w:tab w:val="left" w:pos="0" w:leader="none"/>
                    </w:tabs>
                    <w:spacing w:lineRule="auto" w:line="276"/>
                    <w:ind w:hanging="283" w:left="709" w:right="0"/>
                    <w:rPr>
                      <w:rFonts w:ascii="Times New Roman" w:hAnsi="Times New Roman" w:cs="Times New Roman"/>
                      <w:color w:val="000000"/>
                      <w:sz w:val="20"/>
                      <w:szCs w:val="20"/>
                    </w:rPr>
                  </w:pPr>
                  <w:r>
                    <w:rPr>
                      <w:rStyle w:val="Emphasis"/>
                      <w:rFonts w:cs="Times New Roman" w:ascii="Times New Roman" w:hAnsi="Times New Roman"/>
                      <w:color w:val="000000"/>
                      <w:sz w:val="20"/>
                      <w:szCs w:val="20"/>
                    </w:rPr>
                    <w:t>O papel do legislativo na aprovação de orçamentos e projetos de lei relevantes.</w:t>
                  </w:r>
                </w:p>
                <w:p>
                  <w:pPr>
                    <w:pStyle w:val="BodyText"/>
                    <w:numPr>
                      <w:ilvl w:val="0"/>
                      <w:numId w:val="5"/>
                    </w:numPr>
                    <w:tabs>
                      <w:tab w:val="clear" w:pos="709"/>
                      <w:tab w:val="left" w:pos="0" w:leader="none"/>
                    </w:tabs>
                    <w:spacing w:lineRule="auto" w:line="276" w:before="0" w:after="0"/>
                    <w:ind w:hanging="283" w:left="709" w:right="0"/>
                    <w:rPr>
                      <w:rFonts w:ascii="Times New Roman" w:hAnsi="Times New Roman" w:cs="Times New Roman"/>
                      <w:color w:val="000000"/>
                      <w:sz w:val="20"/>
                      <w:szCs w:val="20"/>
                    </w:rPr>
                  </w:pPr>
                  <w:r>
                    <w:rPr>
                      <w:rStyle w:val="Emphasis"/>
                      <w:rFonts w:cs="Times New Roman" w:ascii="Times New Roman" w:hAnsi="Times New Roman"/>
                      <w:color w:val="000000"/>
                      <w:sz w:val="20"/>
                      <w:szCs w:val="20"/>
                    </w:rPr>
                    <w:t>Estratégias para maximizar a eficiência dos recursos captados.</w:t>
                  </w:r>
                </w:p>
                <w:p>
                  <w:pPr>
                    <w:pStyle w:val="BodyText"/>
                    <w:spacing w:lineRule="auto" w:line="276" w:before="0" w:after="0"/>
                    <w:ind w:hanging="0" w:left="0" w:right="0"/>
                    <w:rPr>
                      <w:rFonts w:ascii="Times New Roman" w:hAnsi="Times New Roman" w:cs="Times New Roman"/>
                      <w:color w:val="000000"/>
                      <w:sz w:val="20"/>
                      <w:szCs w:val="20"/>
                    </w:rPr>
                  </w:pPr>
                  <w:r>
                    <w:rPr>
                      <w:rStyle w:val="Strong"/>
                      <w:rFonts w:cs="Times New Roman" w:ascii="Times New Roman" w:hAnsi="Times New Roman"/>
                      <w:color w:val="000000"/>
                      <w:sz w:val="20"/>
                      <w:szCs w:val="20"/>
                    </w:rPr>
                    <w:t>6. Compliance e Governança na Administração Pública</w:t>
                  </w:r>
                </w:p>
                <w:p>
                  <w:pPr>
                    <w:pStyle w:val="BodyText"/>
                    <w:spacing w:lineRule="auto" w:line="276" w:before="0" w:after="0"/>
                    <w:ind w:hanging="0" w:left="0" w:right="0"/>
                    <w:rPr>
                      <w:rFonts w:ascii="Times New Roman" w:hAnsi="Times New Roman" w:cs="Times New Roman"/>
                      <w:color w:val="000000"/>
                      <w:sz w:val="20"/>
                      <w:szCs w:val="20"/>
                    </w:rPr>
                  </w:pPr>
                  <w:r>
                    <w:rPr>
                      <w:rFonts w:cs="Times New Roman" w:ascii="Times New Roman" w:hAnsi="Times New Roman"/>
                      <w:color w:val="000000"/>
                      <w:sz w:val="20"/>
                      <w:szCs w:val="20"/>
                    </w:rPr>
                    <w:t>Um tema adicional sobre compliance e governança:</w:t>
                  </w:r>
                </w:p>
                <w:p>
                  <w:pPr>
                    <w:pStyle w:val="BodyText"/>
                    <w:numPr>
                      <w:ilvl w:val="0"/>
                      <w:numId w:val="6"/>
                    </w:numPr>
                    <w:tabs>
                      <w:tab w:val="clear" w:pos="709"/>
                      <w:tab w:val="left" w:pos="0" w:leader="none"/>
                    </w:tabs>
                    <w:spacing w:lineRule="auto" w:line="276"/>
                    <w:ind w:hanging="283" w:left="709" w:right="0"/>
                    <w:rPr>
                      <w:rFonts w:ascii="Times New Roman" w:hAnsi="Times New Roman" w:cs="Times New Roman"/>
                      <w:color w:val="000000"/>
                      <w:sz w:val="20"/>
                      <w:szCs w:val="20"/>
                    </w:rPr>
                  </w:pPr>
                  <w:r>
                    <w:rPr>
                      <w:rStyle w:val="Emphasis"/>
                      <w:rFonts w:cs="Times New Roman" w:ascii="Times New Roman" w:hAnsi="Times New Roman"/>
                      <w:color w:val="000000"/>
                      <w:sz w:val="20"/>
                      <w:szCs w:val="20"/>
                    </w:rPr>
                    <w:t>Estruturação de programas de compliance em instituições públicas.</w:t>
                  </w:r>
                </w:p>
                <w:p>
                  <w:pPr>
                    <w:pStyle w:val="BodyText"/>
                    <w:numPr>
                      <w:ilvl w:val="0"/>
                      <w:numId w:val="6"/>
                    </w:numPr>
                    <w:tabs>
                      <w:tab w:val="clear" w:pos="709"/>
                      <w:tab w:val="left" w:pos="0" w:leader="none"/>
                    </w:tabs>
                    <w:spacing w:lineRule="auto" w:line="276"/>
                    <w:ind w:hanging="283" w:left="709" w:right="0"/>
                    <w:rPr>
                      <w:rFonts w:ascii="Times New Roman" w:hAnsi="Times New Roman" w:cs="Times New Roman"/>
                      <w:color w:val="000000"/>
                      <w:sz w:val="20"/>
                      <w:szCs w:val="20"/>
                    </w:rPr>
                  </w:pPr>
                  <w:r>
                    <w:rPr>
                      <w:rStyle w:val="Emphasis"/>
                      <w:rFonts w:cs="Times New Roman" w:ascii="Times New Roman" w:hAnsi="Times New Roman"/>
                      <w:color w:val="000000"/>
                      <w:sz w:val="20"/>
                      <w:szCs w:val="20"/>
                    </w:rPr>
                    <w:t>Ferramentas de governança para garantir integridade, ética e responsabilidade.</w:t>
                  </w:r>
                </w:p>
                <w:p>
                  <w:pPr>
                    <w:pStyle w:val="BodyText"/>
                    <w:numPr>
                      <w:ilvl w:val="0"/>
                      <w:numId w:val="6"/>
                    </w:numPr>
                    <w:tabs>
                      <w:tab w:val="clear" w:pos="709"/>
                      <w:tab w:val="left" w:pos="0" w:leader="none"/>
                    </w:tabs>
                    <w:spacing w:lineRule="auto" w:line="276"/>
                    <w:ind w:hanging="283" w:left="709" w:right="0"/>
                    <w:rPr>
                      <w:rFonts w:ascii="Times New Roman" w:hAnsi="Times New Roman" w:cs="Times New Roman"/>
                      <w:color w:val="000000"/>
                      <w:sz w:val="20"/>
                      <w:szCs w:val="20"/>
                    </w:rPr>
                  </w:pPr>
                  <w:r>
                    <w:rPr>
                      <w:rStyle w:val="Emphasis"/>
                      <w:rFonts w:cs="Times New Roman" w:ascii="Times New Roman" w:hAnsi="Times New Roman"/>
                      <w:color w:val="000000"/>
                      <w:sz w:val="20"/>
                      <w:szCs w:val="20"/>
                    </w:rPr>
                    <w:t>Normas nacionais e internacionais que influenciam as práticas de compliance.</w:t>
                  </w:r>
                </w:p>
                <w:p>
                  <w:pPr>
                    <w:pStyle w:val="BodyText"/>
                    <w:numPr>
                      <w:ilvl w:val="0"/>
                      <w:numId w:val="6"/>
                    </w:numPr>
                    <w:tabs>
                      <w:tab w:val="clear" w:pos="709"/>
                      <w:tab w:val="left" w:pos="0" w:leader="none"/>
                    </w:tabs>
                    <w:spacing w:lineRule="auto" w:line="276" w:before="0" w:after="0"/>
                    <w:ind w:hanging="283" w:left="709" w:right="0"/>
                    <w:rPr>
                      <w:rFonts w:ascii="Times New Roman" w:hAnsi="Times New Roman"/>
                      <w:color w:val="000000"/>
                      <w:sz w:val="20"/>
                      <w:szCs w:val="20"/>
                    </w:rPr>
                  </w:pPr>
                  <w:r>
                    <w:rPr>
                      <w:rStyle w:val="Emphasis"/>
                      <w:rFonts w:cs="Times New Roman" w:ascii="Times New Roman" w:hAnsi="Times New Roman"/>
                      <w:color w:val="000000"/>
                      <w:sz w:val="20"/>
                      <w:szCs w:val="20"/>
                    </w:rPr>
                    <w:t>Impacto do compliance na prevenção de fraudes e corrupção.</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pPr>
                  <w:r>
                    <w:rPr>
                      <w:rFonts w:eastAsia="Times New Roman" w:cs="Calibri" w:cstheme="minorHAnsi"/>
                      <w:sz w:val="20"/>
                      <w:szCs w:val="20"/>
                    </w:rPr>
                    <w:t>Inscrição</w:t>
                  </w:r>
                </w:p>
              </w:tc>
              <w:tc>
                <w:tcPr>
                  <w:tcW w:w="1070" w:type="dxa"/>
                  <w:tcBorders>
                    <w:left w:val="single" w:sz="4"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sz w:val="20"/>
                      <w:szCs w:val="20"/>
                    </w:rPr>
                    <w:t>04</w:t>
                  </w:r>
                </w:p>
              </w:tc>
              <w:tc>
                <w:tcPr>
                  <w:tcW w:w="1292" w:type="dxa"/>
                  <w:tcBorders>
                    <w:bottom w:val="single" w:sz="8" w:space="0" w:color="000000"/>
                  </w:tcBorders>
                </w:tcPr>
                <w:p>
                  <w:pPr>
                    <w:pStyle w:val="Normal"/>
                    <w:widowControl w:val="false"/>
                    <w:spacing w:lineRule="auto" w:line="276" w:before="120" w:after="120"/>
                    <w:jc w:val="center"/>
                    <w:rPr/>
                  </w:pPr>
                  <w:r>
                    <w:rPr>
                      <w:rFonts w:eastAsia="Times New Roman" w:cs="Calibri" w:cstheme="minorHAnsi"/>
                      <w:sz w:val="20"/>
                      <w:szCs w:val="20"/>
                    </w:rPr>
                    <w:t>R$ 1.390,00</w:t>
                  </w:r>
                </w:p>
              </w:tc>
              <w:tc>
                <w:tcPr>
                  <w:tcW w:w="1258" w:type="dxa"/>
                  <w:tcBorders>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sz w:val="20"/>
                      <w:szCs w:val="20"/>
                      <w:shd w:fill="auto" w:val="clear"/>
                    </w:rPr>
                    <w:t>R$ 5.560,00</w:t>
                  </w:r>
                </w:p>
              </w:tc>
            </w:tr>
            <w:tr>
              <w:trPr>
                <w:trHeight w:val="584" w:hRule="atLeast"/>
              </w:trPr>
              <w:tc>
                <w:tcPr>
                  <w:tcW w:w="9171" w:type="dxa"/>
                  <w:gridSpan w:val="6"/>
                  <w:tcBorders>
                    <w:left w:val="single" w:sz="8" w:space="0" w:color="000000"/>
                    <w:bottom w:val="single" w:sz="8" w:space="0" w:color="000000"/>
                    <w:right w:val="single" w:sz="8" w:space="0" w:color="000000"/>
                  </w:tcBorders>
                </w:tcPr>
                <w:p>
                  <w:pPr>
                    <w:pStyle w:val="Normal"/>
                    <w:widowControl w:val="false"/>
                    <w:spacing w:lineRule="auto" w:line="276" w:before="120" w:after="120"/>
                    <w:jc w:val="left"/>
                    <w:rPr>
                      <w:rFonts w:cs="Calibri" w:cstheme="minorHAnsi"/>
                      <w:highlight w:val="none"/>
                      <w:shd w:fill="auto" w:val="clear"/>
                    </w:rPr>
                  </w:pPr>
                  <w:r>
                    <w:rPr>
                      <w:rFonts w:eastAsia="Times New Roman" w:cs="Calibri" w:cstheme="minorHAnsi"/>
                      <w:b/>
                      <w:bCs/>
                      <w:sz w:val="24"/>
                      <w:szCs w:val="24"/>
                      <w:shd w:fill="auto" w:val="clear"/>
                    </w:rPr>
                    <w:t>Valor Total: R$ 5.560,00 (cinco mil, quinhentos e sessenta reais)</w:t>
                  </w:r>
                </w:p>
              </w:tc>
            </w:tr>
          </w:tbl>
          <w:p>
            <w:pPr>
              <w:pStyle w:val="Normal"/>
              <w:widowControl w:val="false"/>
              <w:spacing w:lineRule="auto" w:line="276" w:before="120" w:after="120"/>
              <w:jc w:val="both"/>
              <w:rPr>
                <w:rFonts w:eastAsia="Times New Roman" w:cs="Calibri" w:cstheme="minorHAnsi"/>
                <w:b/>
                <w:sz w:val="24"/>
                <w:szCs w:val="24"/>
              </w:rPr>
            </w:pPr>
            <w:r>
              <w:rPr>
                <w:rFonts w:eastAsia="Times New Roman" w:cs="Calibri" w:cstheme="minorHAnsi"/>
                <w:b/>
                <w:sz w:val="24"/>
                <w:szCs w:val="24"/>
              </w:rPr>
            </w:r>
          </w:p>
        </w:tc>
      </w:tr>
      <w:tr>
        <w:trPr>
          <w:trHeight w:val="329"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4. Grau de prioridade da compr</w:t>
            </w:r>
            <w:r>
              <w:rPr>
                <w:rFonts w:eastAsia="Times New Roman" w:cs="Calibri" w:cstheme="minorHAnsi"/>
                <w:b/>
                <w:color w:val="000000"/>
                <w:sz w:val="24"/>
                <w:szCs w:val="24"/>
              </w:rPr>
              <w:t>a: Alto</w:t>
            </w:r>
          </w:p>
        </w:tc>
      </w:tr>
      <w:tr>
        <w:trPr>
          <w:trHeight w:val="1050" w:hRule="atLeast"/>
        </w:trPr>
        <w:tc>
          <w:tcPr>
            <w:tcW w:w="9379" w:type="dxa"/>
            <w:gridSpan w:val="4"/>
            <w:tcBorders>
              <w:top w:val="single" w:sz="12"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5. Estimativa de valor: </w:t>
            </w:r>
            <w:r>
              <w:rPr>
                <w:rFonts w:eastAsia="Times New Roman" w:cs="Calibri" w:cstheme="minorHAnsi"/>
                <w:b w:val="false"/>
                <w:bCs w:val="false"/>
                <w:color w:val="000000"/>
                <w:sz w:val="24"/>
                <w:szCs w:val="24"/>
              </w:rPr>
              <w:t xml:space="preserve">A estimativa de Valor Total para a referida contratação é de </w:t>
            </w:r>
            <w:r>
              <w:rPr>
                <w:rFonts w:eastAsia="Times New Roman" w:cs="Calibri" w:cstheme="minorHAnsi"/>
                <w:b/>
                <w:bCs/>
                <w:color w:val="000000"/>
                <w:sz w:val="24"/>
                <w:szCs w:val="24"/>
                <w:shd w:fill="auto" w:val="clear"/>
              </w:rPr>
              <w:t>R$5.560,00 (cinco mil, quinhentos e sessenta reais)</w:t>
            </w:r>
          </w:p>
        </w:tc>
      </w:tr>
      <w:tr>
        <w:trPr>
          <w:trHeight w:val="109" w:hRule="atLeast"/>
        </w:trPr>
        <w:tc>
          <w:tcPr>
            <w:tcW w:w="9379" w:type="dxa"/>
            <w:gridSpan w:val="4"/>
            <w:tcBorders>
              <w:top w:val="single" w:sz="4"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6. Prazo de Entrega/ Execução: </w:t>
            </w:r>
            <w:r>
              <w:rPr>
                <w:rFonts w:eastAsia="Times New Roman" w:cs="Calibri" w:cstheme="minorHAnsi"/>
                <w:b w:val="false"/>
                <w:bCs w:val="false"/>
                <w:color w:val="000000"/>
                <w:sz w:val="24"/>
                <w:szCs w:val="24"/>
              </w:rPr>
              <w:t xml:space="preserve">O curso </w:t>
            </w:r>
            <w:r>
              <w:rPr>
                <w:rFonts w:eastAsia="Times New Roman" w:cs="Calibri" w:cstheme="minorHAnsi"/>
                <w:b w:val="false"/>
                <w:bCs w:val="false"/>
                <w:color w:val="000000"/>
                <w:sz w:val="24"/>
                <w:szCs w:val="24"/>
                <w:shd w:fill="auto" w:val="clear"/>
              </w:rPr>
              <w:t>terá 4 dias de duração.</w:t>
            </w:r>
          </w:p>
        </w:tc>
      </w:tr>
      <w:tr>
        <w:trPr>
          <w:trHeight w:val="295"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7. Local e horário da Entrega/Execução:</w:t>
            </w:r>
            <w:r>
              <w:rPr>
                <w:rFonts w:eastAsia="Times New Roman" w:cs="Calibri" w:cstheme="minorHAnsi"/>
                <w:bCs/>
                <w:sz w:val="24"/>
                <w:szCs w:val="24"/>
              </w:rPr>
              <w:t xml:space="preserve"> Três Passos/RS.</w:t>
            </w:r>
          </w:p>
        </w:tc>
      </w:tr>
      <w:tr>
        <w:trPr>
          <w:trHeight w:val="588"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8. Vinculado ou dependente da contratação de outro Documento de Formalização de Demanda:</w:t>
            </w:r>
            <w:r>
              <w:rPr>
                <w:rFonts w:eastAsia="Times New Roman" w:cs="Calibri" w:cstheme="minorHAnsi"/>
                <w:b/>
                <w:color w:val="000000"/>
                <w:sz w:val="24"/>
                <w:szCs w:val="24"/>
              </w:rPr>
              <w:t xml:space="preserve"> </w:t>
            </w:r>
            <w:r>
              <w:rPr>
                <w:rFonts w:eastAsia="Times New Roman" w:cs="Calibri" w:cstheme="minorHAnsi"/>
                <w:b w:val="false"/>
                <w:bCs w:val="false"/>
                <w:color w:val="000000"/>
                <w:sz w:val="24"/>
                <w:szCs w:val="24"/>
              </w:rPr>
              <w:t>Não.</w:t>
            </w:r>
          </w:p>
        </w:tc>
      </w:tr>
      <w:tr>
        <w:trPr>
          <w:trHeight w:val="464"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Web"/>
              <w:widowControl w:val="false"/>
              <w:shd w:val="clear" w:color="auto" w:fill="FFFFFF"/>
              <w:spacing w:lineRule="auto" w:line="276" w:beforeAutospacing="0" w:before="120" w:afterAutospacing="0" w:after="120"/>
              <w:jc w:val="both"/>
              <w:rPr/>
            </w:pPr>
            <w:r>
              <w:rPr>
                <w:rFonts w:cs="Calibri" w:cstheme="minorHAnsi"/>
                <w:b/>
                <w:lang w:eastAsia="en-US"/>
              </w:rPr>
              <w:t xml:space="preserve">9. Indicação do fiscal do contrato ou servidor que fará a liquidação da despesa: </w:t>
            </w:r>
            <w:r>
              <w:rPr>
                <w:rFonts w:cs="Calibri" w:cstheme="minorHAnsi"/>
                <w:b w:val="false"/>
                <w:bCs w:val="false"/>
                <w:lang w:eastAsia="en-US"/>
              </w:rPr>
              <w:t>Andrieli Camila Hepp (matrícula 120)</w:t>
            </w:r>
          </w:p>
        </w:tc>
      </w:tr>
      <w:tr>
        <w:trPr>
          <w:trHeight w:val="1155"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center"/>
              <w:rPr/>
            </w:pPr>
            <w:r>
              <w:rPr>
                <w:rFonts w:eastAsia="Times New Roman" w:cs="Calibri" w:cstheme="minorHAnsi"/>
                <w:sz w:val="24"/>
                <w:szCs w:val="24"/>
              </w:rPr>
              <w:t>Três Passos-RS, 5 de agosto de 2025.</w:t>
            </w:r>
          </w:p>
          <w:p>
            <w:pPr>
              <w:pStyle w:val="Normal"/>
              <w:widowControl w:val="false"/>
              <w:spacing w:lineRule="auto" w:line="276" w:before="120" w:after="120"/>
              <w:jc w:val="center"/>
              <w:rPr>
                <w:rFonts w:ascii="Times New Roman" w:hAnsi="Times New Roman"/>
              </w:rPr>
            </w:pPr>
            <w:r>
              <w:rPr/>
            </w:r>
          </w:p>
          <w:p>
            <w:pPr>
              <w:pStyle w:val="Normal"/>
              <w:widowControl w:val="false"/>
              <w:spacing w:lineRule="auto" w:line="276" w:before="6" w:after="6"/>
              <w:jc w:val="center"/>
              <w:rPr/>
            </w:pPr>
            <w:r>
              <w:rPr/>
              <w:t>Emanuelle Cavalcante Carvalho Petrazzini (matrícula 177)</w:t>
            </w:r>
          </w:p>
          <w:p>
            <w:pPr>
              <w:pStyle w:val="Normal"/>
              <w:widowControl w:val="false"/>
              <w:spacing w:lineRule="auto" w:line="276" w:before="6" w:after="6"/>
              <w:jc w:val="center"/>
              <w:rPr/>
            </w:pPr>
            <w:r>
              <w:rPr>
                <w:rFonts w:eastAsia="Times New Roman" w:cs="Calibri" w:cstheme="minorHAnsi"/>
                <w:sz w:val="24"/>
                <w:szCs w:val="24"/>
              </w:rPr>
              <w:t>Responsável pela Formalização da Demanda</w:t>
            </w:r>
          </w:p>
        </w:tc>
      </w:tr>
      <w:tr>
        <w:trPr>
          <w:trHeight w:val="1293" w:hRule="atLeast"/>
        </w:trPr>
        <w:tc>
          <w:tcPr>
            <w:tcW w:w="9379" w:type="dxa"/>
            <w:gridSpan w:val="4"/>
            <w:tcBorders>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sz w:val="24"/>
                <w:szCs w:val="24"/>
              </w:rPr>
              <w:t xml:space="preserve"> </w:t>
            </w:r>
            <w:r>
              <w:rPr>
                <w:rFonts w:eastAsia="Times New Roman" w:cs="Calibri" w:cstheme="minorHAnsi"/>
                <w:b/>
                <w:sz w:val="24"/>
                <w:szCs w:val="24"/>
              </w:rPr>
              <w:t>OBSERVAÇÕES:</w:t>
            </w:r>
          </w:p>
          <w:p>
            <w:pPr>
              <w:pStyle w:val="Normal"/>
              <w:widowControl w:val="false"/>
              <w:spacing w:lineRule="auto" w:line="276" w:before="120" w:after="120"/>
              <w:jc w:val="center"/>
              <w:rPr>
                <w:rFonts w:ascii="Times New Roman" w:hAnsi="Times New Roman" w:eastAsia="Times New Roman" w:cs="Calibri" w:cstheme="minorHAnsi"/>
                <w:sz w:val="24"/>
                <w:szCs w:val="24"/>
              </w:rPr>
            </w:pPr>
            <w:r>
              <w:rPr>
                <w:rFonts w:eastAsia="Times New Roman" w:cs="Calibri" w:cstheme="minorHAnsi"/>
                <w:sz w:val="24"/>
                <w:szCs w:val="24"/>
              </w:rPr>
            </w:r>
          </w:p>
        </w:tc>
      </w:tr>
    </w:tbl>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false"/>
        <w:bidi w:val="0"/>
        <w:spacing w:lineRule="auto" w:line="276" w:before="0" w:after="0"/>
        <w:ind w:hanging="0" w:left="0" w:right="0"/>
        <w:jc w:val="left"/>
        <w:outlineLvl w:val="0"/>
        <w:rPr>
          <w:rFonts w:ascii="Times New Roman" w:hAnsi="Times New Roman"/>
        </w:rPr>
      </w:pPr>
      <w:r>
        <w:rPr/>
      </w:r>
    </w:p>
    <w:p>
      <w:pPr>
        <w:pStyle w:val="Heading1"/>
        <w:widowControl/>
        <w:numPr>
          <w:ilvl w:val="0"/>
          <w:numId w:val="0"/>
        </w:numPr>
        <w:suppressAutoHyphens w:val="true"/>
        <w:overflowPunct w:val="false"/>
        <w:bidi w:val="0"/>
        <w:spacing w:lineRule="auto" w:line="276" w:before="0" w:after="0"/>
        <w:ind w:hanging="0" w:left="0" w:right="0"/>
        <w:jc w:val="left"/>
        <w:rPr/>
      </w:pPr>
      <w:r>
        <w:rPr>
          <w:rFonts w:cs="Calibri" w:cstheme="minorHAnsi"/>
          <w:b/>
          <w:bCs/>
          <w:sz w:val="24"/>
          <w:szCs w:val="24"/>
        </w:rPr>
        <w:t xml:space="preserve">ESTUDO TÉCNICO PRELIMINAR </w:t>
      </w:r>
      <w:r>
        <w:rPr>
          <w:rFonts w:cs="Calibri" w:cstheme="minorHAnsi"/>
          <w:b/>
          <w:bCs/>
          <w:sz w:val="24"/>
          <w:szCs w:val="24"/>
          <w:shd w:fill="auto" w:val="clear"/>
        </w:rPr>
        <w:t xml:space="preserve">N. 37/2025 </w:t>
      </w:r>
    </w:p>
    <w:p>
      <w:pPr>
        <w:pStyle w:val="Normal"/>
        <w:spacing w:lineRule="auto" w:line="276"/>
        <w:jc w:val="both"/>
        <w:rPr/>
      </w:pPr>
      <w:r>
        <w:rPr>
          <w:rFonts w:cs="Calibri" w:cstheme="minorHAnsi"/>
          <w:sz w:val="24"/>
          <w:szCs w:val="24"/>
        </w:rPr>
        <w:t>Unidade Solicitante: Câmara Municipal de Três Passos-RS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1. DESCRIÇÃO DA NECESSIDADE</w:t>
      </w:r>
    </w:p>
    <w:p>
      <w:pPr>
        <w:pStyle w:val="BodyText"/>
        <w:spacing w:lineRule="auto" w:line="276"/>
        <w:jc w:val="both"/>
        <w:rPr/>
      </w:pPr>
      <w:r>
        <w:rPr>
          <w:rStyle w:val="Fontepargpadro"/>
          <w:rFonts w:cs="Calibri" w:ascii="Times New Roman" w:hAnsi="Times New Roman" w:cstheme="minorHAnsi"/>
          <w:color w:val="000000"/>
          <w:sz w:val="24"/>
          <w:szCs w:val="24"/>
          <w:u w:val="none"/>
          <w:shd w:fill="auto" w:val="clear"/>
          <w:lang w:eastAsia="en-US"/>
        </w:rPr>
        <w:t>Trata-se de estudos preliminares voltados à contratação de empresa especializada em capacitação profissional para ministrar o curso “Desempenho de Gestão Integrada: Estratégias, Práticas Avançadas e Legislação”.</w:t>
      </w:r>
    </w:p>
    <w:p>
      <w:pPr>
        <w:pStyle w:val="BodyText"/>
        <w:spacing w:lineRule="auto" w:line="276" w:before="0" w:after="0"/>
        <w:rPr>
          <w:rFonts w:ascii="Times New Roman" w:hAnsi="Times New Roman" w:cs="Calibri" w:cstheme="minorHAnsi"/>
          <w:color w:val="000000"/>
          <w:lang w:eastAsia="en-US"/>
        </w:rPr>
      </w:pPr>
      <w:r>
        <w:rPr>
          <w:rFonts w:cs="Calibri" w:cstheme="minorHAnsi" w:ascii="Times New Roman" w:hAnsi="Times New Roman"/>
          <w:color w:val="000000"/>
          <w:lang w:eastAsia="en-US"/>
        </w:rPr>
        <w:t>A iniciativa atende à necessidade de qualificação contínua dos vereadores da Câmara Municipal, especialmente diante das exigências cada vez maiores por responsabilidade, transparência, domínio da legislação e atuação eficiente na gestão pública. O conteúdo do curso contempla temas essenciais como princípios da administração pública, fiscalização do Tribunal de Contas, improbidade administrativa, imunidade parlamentar, compliance e o papel do Legislativo na captação e gestão de recursos.</w:t>
      </w:r>
    </w:p>
    <w:p>
      <w:pPr>
        <w:pStyle w:val="BodyText"/>
        <w:spacing w:lineRule="auto" w:line="276" w:before="0" w:after="283"/>
        <w:rPr>
          <w:rFonts w:ascii="Times New Roman" w:hAnsi="Times New Roman" w:cs="Calibri" w:cstheme="minorHAnsi"/>
          <w:color w:val="000000"/>
          <w:lang w:eastAsia="en-US"/>
        </w:rPr>
      </w:pPr>
      <w:r>
        <w:rPr>
          <w:rFonts w:cs="Calibri" w:cstheme="minorHAnsi" w:ascii="Times New Roman" w:hAnsi="Times New Roman"/>
          <w:color w:val="000000"/>
          <w:lang w:eastAsia="en-US"/>
        </w:rPr>
        <w:t>A qualificação contribui para decisões mais seguras, maior controle dos atos administrativos, melhor aplicação dos recursos públicos e fortalecimento institucional da Câmara. Por essa razão, a contratação visa atender à capacitação dos seguintes vereadores:</w:t>
      </w:r>
    </w:p>
    <w:p>
      <w:pPr>
        <w:pStyle w:val="BodyText"/>
        <w:numPr>
          <w:ilvl w:val="0"/>
          <w:numId w:val="7"/>
        </w:numPr>
        <w:tabs>
          <w:tab w:val="clear" w:pos="709"/>
          <w:tab w:val="left" w:pos="0" w:leader="none"/>
        </w:tabs>
        <w:suppressAutoHyphens w:val="true"/>
        <w:spacing w:lineRule="auto" w:line="276" w:before="0" w:after="0"/>
        <w:ind w:hanging="283" w:left="709"/>
        <w:rPr>
          <w:rFonts w:ascii="Times New Roman" w:hAnsi="Times New Roman" w:cs="Calibri" w:cstheme="minorHAnsi"/>
        </w:rPr>
      </w:pPr>
      <w:r>
        <w:rPr>
          <w:rFonts w:cs="Calibri" w:ascii="Times New Roman" w:hAnsi="Times New Roman" w:cstheme="minorHAnsi"/>
        </w:rPr>
        <w:t>Flavio Habitzreiter</w:t>
      </w:r>
    </w:p>
    <w:p>
      <w:pPr>
        <w:pStyle w:val="BodyText"/>
        <w:numPr>
          <w:ilvl w:val="0"/>
          <w:numId w:val="7"/>
        </w:numPr>
        <w:tabs>
          <w:tab w:val="clear" w:pos="709"/>
          <w:tab w:val="left" w:pos="0" w:leader="none"/>
        </w:tabs>
        <w:suppressAutoHyphens w:val="true"/>
        <w:spacing w:lineRule="auto" w:line="276" w:before="0" w:after="0"/>
        <w:ind w:hanging="283" w:left="709"/>
        <w:rPr>
          <w:rFonts w:ascii="Times New Roman" w:hAnsi="Times New Roman" w:cs="Calibri" w:cstheme="minorHAnsi"/>
        </w:rPr>
      </w:pPr>
      <w:r>
        <w:rPr>
          <w:rFonts w:cs="Calibri" w:ascii="Times New Roman" w:hAnsi="Times New Roman" w:cstheme="minorHAnsi"/>
        </w:rPr>
        <w:t>Ingomar Sandtner</w:t>
      </w:r>
    </w:p>
    <w:p>
      <w:pPr>
        <w:pStyle w:val="BodyText"/>
        <w:numPr>
          <w:ilvl w:val="0"/>
          <w:numId w:val="7"/>
        </w:numPr>
        <w:tabs>
          <w:tab w:val="clear" w:pos="709"/>
          <w:tab w:val="left" w:pos="0" w:leader="none"/>
        </w:tabs>
        <w:suppressAutoHyphens w:val="true"/>
        <w:spacing w:lineRule="auto" w:line="276" w:before="0" w:after="0"/>
        <w:ind w:hanging="283" w:left="709"/>
        <w:rPr>
          <w:rFonts w:ascii="Times New Roman" w:hAnsi="Times New Roman" w:cs="Calibri" w:cstheme="minorHAnsi"/>
        </w:rPr>
      </w:pPr>
      <w:r>
        <w:rPr>
          <w:rFonts w:cs="Calibri" w:ascii="Times New Roman" w:hAnsi="Times New Roman" w:cstheme="minorHAnsi"/>
        </w:rPr>
        <w:t>Luis Carlos Costa</w:t>
      </w:r>
    </w:p>
    <w:p>
      <w:pPr>
        <w:pStyle w:val="BodyText"/>
        <w:numPr>
          <w:ilvl w:val="0"/>
          <w:numId w:val="7"/>
        </w:numPr>
        <w:tabs>
          <w:tab w:val="clear" w:pos="709"/>
          <w:tab w:val="left" w:pos="0" w:leader="none"/>
        </w:tabs>
        <w:suppressAutoHyphens w:val="true"/>
        <w:spacing w:lineRule="auto" w:line="276" w:before="0" w:after="283"/>
        <w:ind w:hanging="283" w:left="709"/>
        <w:rPr>
          <w:rFonts w:cs="Calibri" w:cstheme="minorHAnsi"/>
        </w:rPr>
      </w:pPr>
      <w:r>
        <w:rPr>
          <w:rStyle w:val="Strong"/>
          <w:rFonts w:cs="Calibri" w:ascii="Times New Roman" w:hAnsi="Times New Roman" w:cstheme="minorHAnsi"/>
          <w:b w:val="false"/>
          <w:bCs w:val="false"/>
          <w:lang w:eastAsia="en-US"/>
        </w:rPr>
        <w:t>Osvaldir José Urnau</w:t>
      </w:r>
    </w:p>
    <w:p>
      <w:pPr>
        <w:pStyle w:val="Normal"/>
        <w:spacing w:lineRule="auto" w:line="276"/>
        <w:jc w:val="both"/>
        <w:rPr>
          <w:rFonts w:ascii="Times New Roman" w:hAnsi="Times New Roman" w:cs="Calibri" w:cstheme="minorHAnsi"/>
          <w:b/>
          <w:bCs/>
          <w:color w:val="000000"/>
          <w:sz w:val="24"/>
          <w:szCs w:val="24"/>
        </w:rPr>
      </w:pPr>
      <w:r>
        <w:rPr>
          <w:rFonts w:cs="Calibri" w:cstheme="minorHAnsi"/>
          <w:b/>
          <w:bCs/>
          <w:color w:val="000000"/>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color w:val="000000"/>
          <w:sz w:val="24"/>
          <w:szCs w:val="24"/>
        </w:rPr>
        <w:t>2. PREVISÃO DA CONTRATAÇÃO NO PLANO DE CONTRATAÇÕES ANUAL</w:t>
      </w:r>
    </w:p>
    <w:p>
      <w:pPr>
        <w:pStyle w:val="Normal"/>
        <w:spacing w:lineRule="auto" w:line="276"/>
        <w:jc w:val="both"/>
        <w:rPr/>
      </w:pPr>
      <w:r>
        <w:rPr>
          <w:rStyle w:val="Fontepargpadro"/>
          <w:rFonts w:cs="Calibri" w:cstheme="minorHAnsi"/>
          <w:color w:val="000000"/>
          <w:sz w:val="24"/>
          <w:szCs w:val="24"/>
          <w:lang w:eastAsia="en-US"/>
        </w:rPr>
        <w:t>O objeto da contratação está incluso no Plano Anual de Contratações – PAC, estando assim de acordo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 xml:space="preserve">3. REQUISITOS DA CONTRATAÇÃO </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 Os requisitos da contratação abrangem o seguinte:</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 xml:space="preserve">3.1.1. </w:t>
      </w:r>
      <w:r>
        <w:rPr>
          <w:rFonts w:ascii="Times New Roman" w:hAnsi="Times New Roman"/>
        </w:rPr>
        <w:t xml:space="preserve">Conteúdo programático compatível com as necessidades de capacitação técnica e institucional dos vereadores da Câmara Municipal, incluindo temas como: responsabilidades do gestor público; princípios da administração pública; atuação dos Tribunais de Contas; Lei de Improbidade Administrativa; imunidade parlamentar; compliance e governança; captação de recursos; e o papel do Legislativo na gestão pública e no controle dos recursos orçamentários. </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3.1.2. O curso deverá proporcionar abordagem teórica e prática, com participação ativa dos inscritos, oportunizando o esclarecimento de dúvidas e a discussão de casos reais, contribuindo diretamente para a qualificação técnica do</w:t>
      </w:r>
      <w:r>
        <w:rPr>
          <w:rFonts w:cs="Calibri" w:ascii="Times New Roman" w:hAnsi="Times New Roman" w:cstheme="minorHAnsi"/>
        </w:rPr>
        <w:t>s vereadores</w:t>
      </w:r>
      <w:r>
        <w:rPr>
          <w:rFonts w:cs="Calibri" w:ascii="Times New Roman" w:hAnsi="Times New Roman" w:cstheme="minorHAnsi"/>
        </w:rPr>
        <w:t xml:space="preserve"> nas atividades de planejamento, condução e fiscalização de processos licitatórios.</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3.1.3. O curso deverá ser ministrado por profissional ou empresa com notória especialização na área de licitações públicas, pregão eletrônico, concorrência, contratos administrativos e aplicação da Lei nº 14.133/2021.</w:t>
      </w:r>
    </w:p>
    <w:p>
      <w:pPr>
        <w:pStyle w:val="BodyText"/>
        <w:spacing w:lineRule="auto" w:line="276" w:before="0" w:after="283"/>
        <w:rPr>
          <w:rFonts w:ascii="Times New Roman" w:hAnsi="Times New Roman" w:cs="Calibri" w:cstheme="minorHAnsi"/>
        </w:rPr>
      </w:pPr>
      <w:r>
        <w:rPr>
          <w:rFonts w:cs="Calibri" w:ascii="Times New Roman" w:hAnsi="Times New Roman" w:cstheme="minorHAnsi"/>
        </w:rPr>
        <w:t>3.1.4. Não será permitida a subcontratação do objeto contratual.</w:t>
      </w:r>
    </w:p>
    <w:p>
      <w:pPr>
        <w:pStyle w:val="BodyText"/>
        <w:spacing w:lineRule="auto" w:line="276"/>
        <w:jc w:val="both"/>
        <w:rPr>
          <w:rFonts w:ascii="Times New Roman" w:hAnsi="Times New Roman" w:cs="Calibri" w:cstheme="minorHAnsi"/>
          <w:b w:val="false"/>
          <w:bCs w:val="false"/>
          <w:sz w:val="24"/>
          <w:szCs w:val="24"/>
        </w:rPr>
      </w:pPr>
      <w:r>
        <w:rPr>
          <w:rFonts w:cs="Calibri" w:cstheme="minorHAnsi" w:ascii="Times New Roman" w:hAnsi="Times New Roman"/>
          <w:b w:val="false"/>
          <w:bCs w:val="false"/>
          <w:sz w:val="24"/>
          <w:szCs w:val="24"/>
        </w:rPr>
      </w:r>
    </w:p>
    <w:p>
      <w:pPr>
        <w:pStyle w:val="Normal"/>
        <w:spacing w:lineRule="auto" w:line="276"/>
        <w:jc w:val="both"/>
        <w:rPr/>
      </w:pPr>
      <w:r>
        <w:rPr>
          <w:rFonts w:cs="Calibri" w:cstheme="minorHAnsi"/>
          <w:b/>
          <w:bCs/>
          <w:color w:val="000000"/>
          <w:sz w:val="24"/>
          <w:szCs w:val="24"/>
        </w:rPr>
        <w:t>4. ESTIMATIVAS DAS QUANTIDADES PARA A CONTRATAÇÃO</w:t>
      </w:r>
    </w:p>
    <w:p>
      <w:pPr>
        <w:pStyle w:val="Normal"/>
        <w:spacing w:lineRule="auto" w:line="276"/>
        <w:jc w:val="both"/>
        <w:rPr/>
      </w:pPr>
      <w:r>
        <w:rPr>
          <w:rFonts w:cs="Calibri" w:cstheme="minorHAnsi"/>
          <w:sz w:val="24"/>
          <w:szCs w:val="24"/>
        </w:rPr>
        <w:t xml:space="preserve">4.1. Há necessidade de constante capacitação dos agentes políticos envolvidos no Processo Legislativo, razão pela qual, no presente curso, indica-se a capacitação da seguinte quantidade de vereadores: </w:t>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95"/>
        <w:gridCol w:w="4261"/>
        <w:gridCol w:w="1200"/>
        <w:gridCol w:w="3005"/>
      </w:tblGrid>
      <w:tr>
        <w:trPr>
          <w:trHeight w:val="672" w:hRule="atLeast"/>
        </w:trPr>
        <w:tc>
          <w:tcPr>
            <w:tcW w:w="895"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Item</w:t>
            </w:r>
          </w:p>
        </w:tc>
        <w:tc>
          <w:tcPr>
            <w:tcW w:w="4261"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Especificação</w:t>
            </w:r>
          </w:p>
        </w:tc>
        <w:tc>
          <w:tcPr>
            <w:tcW w:w="1200"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QUANT.</w:t>
            </w:r>
          </w:p>
        </w:tc>
        <w:tc>
          <w:tcPr>
            <w:tcW w:w="3005"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NOME DOS VEREADORES</w:t>
            </w:r>
          </w:p>
        </w:tc>
      </w:tr>
      <w:tr>
        <w:trPr/>
        <w:tc>
          <w:tcPr>
            <w:tcW w:w="895" w:type="dxa"/>
            <w:tcBorders/>
          </w:tcPr>
          <w:p>
            <w:pPr>
              <w:pStyle w:val="Normal"/>
              <w:widowControl/>
              <w:suppressAutoHyphens w:val="true"/>
              <w:spacing w:lineRule="auto" w:line="276" w:before="0" w:after="0"/>
              <w:jc w:val="both"/>
              <w:rPr/>
            </w:pPr>
            <w:r>
              <w:rPr>
                <w:rFonts w:eastAsia="Calibri" w:cs="Calibri" w:cstheme="minorHAnsi"/>
                <w:b/>
                <w:bCs/>
                <w:kern w:val="2"/>
                <w:sz w:val="20"/>
                <w:szCs w:val="20"/>
                <w:lang w:val="pt-BR" w:eastAsia="en-US" w:bidi="ar-SA"/>
              </w:rPr>
              <w:t>1</w:t>
            </w:r>
          </w:p>
        </w:tc>
        <w:tc>
          <w:tcPr>
            <w:tcW w:w="4261"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Inscrição no curso</w:t>
            </w:r>
            <w:r>
              <w:rPr>
                <w:rStyle w:val="Fontepargpadro"/>
                <w:rFonts w:eastAsia="Calibri" w:cs="Times New Roman"/>
                <w:b/>
                <w:bCs w:val="false"/>
                <w:i w:val="false"/>
                <w:iCs w:val="false"/>
                <w:caps w:val="false"/>
                <w:smallCaps w:val="false"/>
                <w:color w:val="000000"/>
                <w:spacing w:val="0"/>
                <w:w w:val="115"/>
                <w:kern w:val="0"/>
                <w:sz w:val="20"/>
                <w:szCs w:val="20"/>
                <w:u w:val="none"/>
                <w:shd w:fill="auto" w:val="clear"/>
                <w:lang w:val="pt-BR" w:eastAsia="ar-SA" w:bidi="ar-SA"/>
              </w:rPr>
              <w:t xml:space="preserve"> </w:t>
            </w:r>
            <w:r>
              <w:rPr>
                <w:rStyle w:val="Strong"/>
                <w:rFonts w:eastAsia="Calibri" w:cs="Times New Roman"/>
                <w:i w:val="false"/>
                <w:iCs w:val="false"/>
                <w:caps w:val="false"/>
                <w:smallCaps w:val="false"/>
                <w:color w:val="000000"/>
                <w:spacing w:val="0"/>
                <w:w w:val="115"/>
                <w:kern w:val="0"/>
                <w:sz w:val="20"/>
                <w:szCs w:val="20"/>
                <w:u w:val="none"/>
                <w:shd w:fill="auto" w:val="clear"/>
                <w:lang w:val="pt-BR" w:eastAsia="ar-SA" w:bidi="ar-SA"/>
              </w:rPr>
              <w:t>Desempenho de Gestão Integrada: Estratégias, Práticas Avançadas e Legislação</w:t>
            </w:r>
          </w:p>
        </w:tc>
        <w:tc>
          <w:tcPr>
            <w:tcW w:w="1200"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4</w:t>
            </w:r>
          </w:p>
        </w:tc>
        <w:tc>
          <w:tcPr>
            <w:tcW w:w="3005" w:type="dxa"/>
            <w:tcBorders/>
          </w:tcPr>
          <w:p>
            <w:pPr>
              <w:pStyle w:val="BodyText"/>
              <w:widowControl/>
              <w:numPr>
                <w:ilvl w:val="0"/>
                <w:numId w:val="0"/>
              </w:numPr>
              <w:tabs>
                <w:tab w:val="clear" w:pos="709"/>
                <w:tab w:val="left" w:pos="0" w:leader="none"/>
              </w:tabs>
              <w:suppressAutoHyphens w:val="true"/>
              <w:overflowPunct w:val="false"/>
              <w:bidi w:val="0"/>
              <w:spacing w:lineRule="auto" w:line="276" w:before="0" w:after="0"/>
              <w:ind w:hanging="0" w:left="170" w:right="227"/>
              <w:jc w:val="both"/>
              <w:rPr/>
            </w:pPr>
            <w:r>
              <w:rPr>
                <w:rFonts w:cs="Calibri" w:ascii="Times New Roman" w:hAnsi="Times New Roman" w:cstheme="minorHAnsi"/>
                <w:sz w:val="20"/>
                <w:szCs w:val="20"/>
              </w:rPr>
              <w:t xml:space="preserve">Flavio Habitzreiter, Ingomar Sandtner, Luis Carlos Costa, </w:t>
            </w:r>
            <w:r>
              <w:rPr>
                <w:rStyle w:val="Strong"/>
                <w:rFonts w:cs="Calibri" w:ascii="Times New Roman" w:hAnsi="Times New Roman" w:cstheme="minorHAnsi"/>
                <w:b w:val="false"/>
                <w:bCs w:val="false"/>
                <w:sz w:val="20"/>
                <w:szCs w:val="20"/>
                <w:shd w:fill="auto" w:val="clear"/>
                <w:lang w:eastAsia="en-US"/>
              </w:rPr>
              <w:t>Osvaldir José Urnau</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14" w:after="114"/>
        <w:jc w:val="both"/>
        <w:rPr/>
      </w:pPr>
      <w:r>
        <w:rPr>
          <w:rStyle w:val="Fontepargpadro"/>
          <w:b/>
          <w:bCs/>
          <w:lang w:eastAsia="en-US"/>
        </w:rPr>
        <w:t>5. ALTERNATIVAS DISPONÍVEIS NO MERCADO:</w:t>
      </w:r>
    </w:p>
    <w:p>
      <w:pPr>
        <w:pStyle w:val="Normal"/>
        <w:spacing w:lineRule="auto" w:line="276"/>
        <w:jc w:val="both"/>
        <w:rPr/>
      </w:pPr>
      <w:r>
        <w:rPr>
          <w:rStyle w:val="Fontepargpadro"/>
        </w:rPr>
        <w:t>Conforme pesquisa realizada no mercado, as soluções disponíveis para necessidade administrativa são:</w:t>
      </w:r>
    </w:p>
    <w:p>
      <w:pPr>
        <w:pStyle w:val="Normal"/>
        <w:spacing w:lineRule="auto" w:line="276"/>
        <w:jc w:val="both"/>
        <w:rPr/>
      </w:pPr>
      <w:r>
        <w:rPr>
          <w:rStyle w:val="Fontepargpadro"/>
        </w:rPr>
        <w:t>I. Contratação de empresa do ramo pertinente para participação de vereadores da Câmara Municipal de Três Passos-RS no curso “</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Desempenho de Gestão Integrada: Estratégias, Práticas Avançadas e Legislação</w:t>
      </w:r>
      <w:r>
        <w:rPr>
          <w:rStyle w:val="Hyperlink"/>
          <w:b w:val="false"/>
          <w:strike w:val="false"/>
          <w:dstrike w:val="false"/>
          <w:color w:val="000000"/>
          <w:sz w:val="24"/>
          <w:szCs w:val="24"/>
          <w:u w:val="none"/>
          <w:effect w:val="none"/>
          <w:shd w:fill="auto" w:val="clear"/>
        </w:rPr>
        <w:t>”; ou</w:t>
      </w:r>
    </w:p>
    <w:p>
      <w:pPr>
        <w:pStyle w:val="Normal"/>
        <w:spacing w:lineRule="auto" w:line="276"/>
        <w:jc w:val="both"/>
        <w:rPr/>
      </w:pPr>
      <w:r>
        <w:rPr>
          <w:rStyle w:val="Fontepargpadro"/>
          <w:rFonts w:cs="Calibri" w:cstheme="minorHAnsi"/>
          <w:b w:val="false"/>
          <w:bCs w:val="false"/>
          <w:sz w:val="24"/>
          <w:szCs w:val="24"/>
          <w:lang w:eastAsia="en-US"/>
        </w:rPr>
        <w:t>II. Contratação de empresa do ramo pertinente para realização do curso in company sobre “</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Desempenho de Gestão Integrada: Estratégias, Práticas Avançadas e Legislação</w:t>
      </w:r>
      <w:r>
        <w:rPr>
          <w:rStyle w:val="Hyperlink"/>
          <w:rFonts w:cs="Calibri"/>
          <w:b w:val="false"/>
          <w:bCs w:val="false"/>
          <w:strike w:val="false"/>
          <w:dstrike w:val="false"/>
          <w:color w:val="000000"/>
          <w:sz w:val="24"/>
          <w:szCs w:val="24"/>
          <w:u w:val="none"/>
          <w:effect w:val="none"/>
          <w:shd w:fill="auto" w:val="clear"/>
          <w:lang w:eastAsia="en-US"/>
        </w:rPr>
        <w:t>” no município de Três Passos-RS, para os vereadores do Poder Legislativo.</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jc w:val="both"/>
        <w:rPr>
          <w:rFonts w:ascii="Times New Roman" w:hAnsi="Times New Roman"/>
        </w:rPr>
      </w:pPr>
      <w:r>
        <w:rPr>
          <w:rFonts w:cs="Calibri" w:cstheme="minorHAnsi"/>
          <w:b/>
          <w:bCs/>
          <w:sz w:val="24"/>
          <w:szCs w:val="24"/>
        </w:rPr>
        <w:t>6. ESTIMATIVA DO VALOR DA CONTRATAÇÃO</w:t>
      </w:r>
    </w:p>
    <w:p>
      <w:pPr>
        <w:pStyle w:val="Normal"/>
        <w:jc w:val="both"/>
        <w:rPr/>
      </w:pPr>
      <w:r>
        <w:rPr>
          <w:rFonts w:cs="Calibri" w:cstheme="minorHAnsi"/>
          <w:b w:val="false"/>
          <w:bCs w:val="false"/>
          <w:i w:val="false"/>
          <w:iCs w:val="false"/>
          <w:sz w:val="24"/>
          <w:szCs w:val="24"/>
          <w:u w:val="none"/>
        </w:rPr>
        <w:t xml:space="preserve">6.1. </w:t>
      </w:r>
      <w:r>
        <w:rPr/>
        <w:t>A estimativa do valor da contratação direta deve observar critérios que assegurem a razoabilidade dos preços, especialmente quando não for viável utilizar os parâmetros previstos nos §§ 1º a 3º do art. 23 da Lei nº 14.133/2021. Nesses casos, conforme dispõe o art. 5º da Resolução de Mesa nº 07, de 12 de janeiro de 2024, a Administração poderá fundamentar a justificativa de preços com base em valores praticados em contratações anteriores realizadas pelo futuro contratado, mediante a apresentação de, no mínimo, três notas fiscais emitidas a outros entes públicos ou privados no período de até um ano antes da contratação, ou por outro meio idôneo</w:t>
      </w:r>
      <w:r>
        <w:rPr>
          <w:sz w:val="24"/>
          <w:szCs w:val="24"/>
        </w:rPr>
        <w:t>:</w:t>
      </w:r>
    </w:p>
    <w:p>
      <w:pPr>
        <w:pStyle w:val="Normal"/>
        <w:widowControl/>
        <w:suppressAutoHyphens w:val="true"/>
        <w:overflowPunct w:val="false"/>
        <w:bidi w:val="0"/>
        <w:spacing w:before="0" w:after="0"/>
        <w:ind w:firstLine="850" w:left="3969" w:right="0"/>
        <w:jc w:val="both"/>
        <w:rPr/>
      </w:pPr>
      <w:r>
        <w:rPr>
          <w:color w:val="000000"/>
          <w:shd w:fill="auto" w:val="clear"/>
        </w:rPr>
        <w:t>Art. 5</w:t>
      </w:r>
      <w:r>
        <w:rPr>
          <w:strike/>
          <w:color w:val="000000"/>
          <w:shd w:fill="auto" w:val="clear"/>
        </w:rPr>
        <w:t>º</w:t>
      </w:r>
      <w:r>
        <w:rPr>
          <w:color w:val="000000"/>
          <w:shd w:fill="auto" w:val="clear"/>
        </w:rPr>
        <w:t xml:space="preserve"> Nas contratações diretas por inexigibilidade ou por dispensa, quando não for possível estimar o valor do objeto na forma estabelecida nos §§ 1</w:t>
      </w:r>
      <w:r>
        <w:rPr>
          <w:strike/>
          <w:color w:val="000000"/>
          <w:shd w:fill="auto" w:val="clear"/>
        </w:rPr>
        <w:t>º</w:t>
      </w:r>
      <w:r>
        <w:rPr>
          <w:color w:val="000000"/>
          <w:shd w:fill="auto" w:val="clear"/>
        </w:rPr>
        <w:t>, 2</w:t>
      </w:r>
      <w:r>
        <w:rPr>
          <w:strike/>
          <w:color w:val="000000"/>
          <w:shd w:fill="auto" w:val="clear"/>
        </w:rPr>
        <w:t>º</w:t>
      </w:r>
      <w:r>
        <w:rPr>
          <w:color w:val="000000"/>
          <w:shd w:fill="auto" w:val="clear"/>
        </w:rPr>
        <w:t xml:space="preserve"> e 3</w:t>
      </w:r>
      <w:r>
        <w:rPr>
          <w:strike/>
          <w:color w:val="000000"/>
          <w:shd w:fill="auto" w:val="clear"/>
        </w:rPr>
        <w:t>º</w:t>
      </w:r>
      <w:r>
        <w:rPr>
          <w:color w:val="000000"/>
          <w:shd w:fill="auto" w:val="clear"/>
        </w:rPr>
        <w:t xml:space="preserve"> do art. 23 da Lei Federal n</w:t>
      </w:r>
      <w:r>
        <w:rPr>
          <w:strike/>
          <w:color w:val="000000"/>
          <w:shd w:fill="auto" w:val="clear"/>
        </w:rPr>
        <w:t>º</w:t>
      </w:r>
      <w:r>
        <w:rPr>
          <w:color w:val="000000"/>
          <w:shd w:fill="auto" w:val="clear"/>
        </w:rPr>
        <w:t xml:space="preserve"> 14.133, de 2021, a justificativa de preços será dada com base em valores de contratações de objetos idênticos, comercializados pelo futuro contratado, por meio da apresentação de no mínimo três notas fiscais emitidas para outros contratantes, públicos ou privados, no período de até um ano anterior à data da contratação pela Administração, ou por outro meio idôneo.</w:t>
      </w:r>
    </w:p>
    <w:p>
      <w:pPr>
        <w:pStyle w:val="Normal"/>
        <w:widowControl/>
        <w:suppressAutoHyphens w:val="true"/>
        <w:overflowPunct w:val="false"/>
        <w:bidi w:val="0"/>
        <w:spacing w:before="0" w:after="0"/>
        <w:ind w:firstLine="850" w:left="3969" w:right="0"/>
        <w:jc w:val="both"/>
        <w:rPr/>
      </w:pPr>
      <w:r>
        <w:rPr>
          <w:rStyle w:val="Fontepargpadro"/>
          <w:color w:val="000000"/>
          <w:sz w:val="22"/>
          <w:szCs w:val="22"/>
          <w:shd w:fill="auto" w:val="clear"/>
        </w:rPr>
        <w:t>Parágrafo único. Excepcionalmente, caso o futuro contratado não tenha comercializado o objeto anteriormente, a justificativa de preço de que trata o caput poderá ser realizada mediante avaliação de objetos semelhantes de mesma natureza, devendo apresentar especificações técnicas que demonstrem similaridade com o objeto pretendido.</w:t>
      </w:r>
    </w:p>
    <w:p>
      <w:pPr>
        <w:pStyle w:val="Normal"/>
        <w:widowControl/>
        <w:suppressAutoHyphens w:val="true"/>
        <w:overflowPunct w:val="false"/>
        <w:bidi w:val="0"/>
        <w:spacing w:before="0" w:after="0"/>
        <w:ind w:firstLine="850" w:left="3969" w:right="0"/>
        <w:jc w:val="both"/>
        <w:rPr>
          <w:rStyle w:val="Fontepargpadro"/>
          <w:rFonts w:ascii="Times New Roman" w:hAnsi="Times New Roman"/>
          <w:color w:val="000000"/>
          <w:sz w:val="22"/>
          <w:szCs w:val="22"/>
          <w:shd w:fill="auto" w:val="clear"/>
        </w:rPr>
      </w:pPr>
      <w:r>
        <w:rPr>
          <w:color w:val="000000"/>
          <w:sz w:val="22"/>
          <w:szCs w:val="22"/>
          <w:shd w:fill="auto" w:val="clear"/>
        </w:rPr>
      </w:r>
    </w:p>
    <w:p>
      <w:pPr>
        <w:pStyle w:val="Normal"/>
        <w:jc w:val="both"/>
        <w:rPr>
          <w:rFonts w:ascii="Times New Roman" w:hAnsi="Times New Roman"/>
        </w:rPr>
      </w:pPr>
      <w:r>
        <w:rPr>
          <w:rFonts w:cs="Calibri" w:cstheme="minorHAnsi"/>
          <w:sz w:val="24"/>
          <w:szCs w:val="24"/>
        </w:rPr>
        <w:t xml:space="preserve">6.2. </w:t>
      </w:r>
      <w:r>
        <w:rPr/>
        <w:t xml:space="preserve">O custo estimado total da contratação é de </w:t>
      </w:r>
      <w:r>
        <w:rPr>
          <w:rStyle w:val="Strong"/>
        </w:rPr>
        <w:t>R$5.560,00 (cinco mil e quinhentos e sessenta reais)</w:t>
      </w:r>
      <w:r>
        <w:rPr/>
        <w:t>, referente à realização do curso “</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Desempenho de Gestão Integrada: Estratégias, Práticas Avançadas e Legislação</w:t>
      </w:r>
      <w:r>
        <w:rPr/>
        <w:t>” em formato presencial no município de Porto Alegre-RS.</w:t>
      </w:r>
    </w:p>
    <w:p>
      <w:pPr>
        <w:pStyle w:val="Normal"/>
        <w:jc w:val="both"/>
        <w:rPr>
          <w:highlight w:val="none"/>
          <w:shd w:fill="auto" w:val="clear"/>
        </w:rPr>
      </w:pPr>
      <w:r>
        <w:rPr>
          <w:shd w:fill="auto" w:val="clear"/>
        </w:rPr>
        <w:t>6.3. A Empresa Contratada comprovou por meio de documentos que o preço praticado encontra-se dentro do valor do mercado, conforme notas fiscais dos</w:t>
      </w:r>
      <w:r>
        <w:rPr>
          <w:shd w:fill="auto" w:val="clear"/>
        </w:rPr>
        <w:t xml:space="preserve"> Municípios de </w:t>
      </w:r>
      <w:r>
        <w:rPr>
          <w:shd w:fill="auto" w:val="clear"/>
        </w:rPr>
        <w:t>Esperança do Sul</w:t>
      </w:r>
      <w:r>
        <w:rPr>
          <w:shd w:fill="auto" w:val="clear"/>
        </w:rPr>
        <w:t xml:space="preserve">/RS, </w:t>
      </w:r>
      <w:r>
        <w:rPr>
          <w:shd w:fill="auto" w:val="clear"/>
        </w:rPr>
        <w:t>Coronel Bicaco</w:t>
      </w:r>
      <w:r>
        <w:rPr>
          <w:shd w:fill="auto" w:val="clear"/>
        </w:rPr>
        <w:t xml:space="preserve">/RS e </w:t>
      </w:r>
      <w:r>
        <w:rPr>
          <w:shd w:fill="auto" w:val="clear"/>
        </w:rPr>
        <w:t>Tiradentes do Sul</w:t>
      </w:r>
      <w:r>
        <w:rPr>
          <w:shd w:fill="auto" w:val="clear"/>
        </w:rPr>
        <w:t>/RS</w:t>
      </w:r>
      <w:r>
        <w:rPr>
          <w:shd w:fill="auto" w:val="clear"/>
        </w:rPr>
        <w:t>, anexas ao processo.</w:t>
      </w:r>
    </w:p>
    <w:p>
      <w:pPr>
        <w:pStyle w:val="Normal"/>
        <w:jc w:val="both"/>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Normal"/>
        <w:jc w:val="both"/>
        <w:rPr>
          <w:rFonts w:ascii="Times New Roman" w:hAnsi="Times New Roman"/>
        </w:rPr>
      </w:pPr>
      <w:r>
        <w:rPr>
          <w:rFonts w:cs="Calibri" w:cstheme="minorHAnsi"/>
          <w:b/>
          <w:bCs/>
          <w:sz w:val="24"/>
          <w:szCs w:val="24"/>
        </w:rPr>
        <w:t xml:space="preserve">7. DESCRIÇÃO DA SOLUÇÃO COMO UM TODO CONSIDERADO O CICLO DE VIDA DO OBJETO </w:t>
      </w:r>
    </w:p>
    <w:p>
      <w:pPr>
        <w:pStyle w:val="Normal"/>
        <w:spacing w:lineRule="auto" w:line="276" w:before="57" w:after="57"/>
        <w:jc w:val="both"/>
        <w:rPr/>
      </w:pPr>
      <w:r>
        <w:rPr>
          <w:rStyle w:val="Fontepargpadro"/>
          <w:rFonts w:cs="Times New Roman"/>
          <w:b w:val="false"/>
          <w:bCs w:val="false"/>
          <w:lang w:eastAsia="en-US"/>
        </w:rPr>
        <w:t xml:space="preserve">7.1 </w:t>
      </w:r>
      <w:r>
        <w:rPr>
          <w:rStyle w:val="Fontepargpadro"/>
          <w:rFonts w:cs="Calibri" w:cstheme="minorHAnsi"/>
          <w:b w:val="false"/>
          <w:bCs w:val="false"/>
          <w:sz w:val="24"/>
          <w:szCs w:val="24"/>
          <w:lang w:eastAsia="en-US"/>
        </w:rPr>
        <w:t>Para a presente contratação, optou-se pela realização de curso presencial ministrado no município de Porto Alegre-RS, com o objetivo de capacitar os vereadores da Câmara Municipal no tema “</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Desempenho de Gestão Integrada: Estratégias, Práticas Avançadas e Legislação</w:t>
      </w:r>
      <w:r>
        <w:rPr>
          <w:rStyle w:val="Fontepargpadro"/>
          <w:rFonts w:cs="Calibri" w:cstheme="minorHAnsi"/>
          <w:b w:val="false"/>
          <w:bCs w:val="false"/>
          <w:sz w:val="24"/>
          <w:szCs w:val="24"/>
          <w:lang w:eastAsia="en-US"/>
        </w:rPr>
        <w:t>.”</w:t>
      </w:r>
    </w:p>
    <w:p>
      <w:pPr>
        <w:pStyle w:val="BodyText"/>
        <w:spacing w:lineRule="auto" w:line="276" w:before="57" w:after="57"/>
        <w:rPr>
          <w:rFonts w:ascii="Times New Roman" w:hAnsi="Times New Roman" w:cs="Calibri" w:cstheme="minorHAnsi"/>
          <w:lang w:eastAsia="en-US"/>
        </w:rPr>
      </w:pPr>
      <w:r>
        <w:rPr>
          <w:rStyle w:val="Strong"/>
          <w:rFonts w:cs="Calibri" w:ascii="Times New Roman" w:hAnsi="Times New Roman" w:cstheme="minorHAnsi"/>
          <w:b w:val="false"/>
          <w:bCs w:val="false"/>
          <w:lang w:eastAsia="en-US"/>
        </w:rPr>
        <w:t>7.2.</w:t>
      </w:r>
      <w:r>
        <w:rPr>
          <w:rFonts w:cs="Calibri" w:ascii="Times New Roman" w:hAnsi="Times New Roman" w:cstheme="minorHAnsi"/>
          <w:b w:val="false"/>
          <w:bCs w:val="false"/>
          <w:lang w:eastAsia="en-US"/>
        </w:rPr>
        <w:t xml:space="preserve"> A presente contratação será realizada diretamente, </w:t>
      </w:r>
      <w:r>
        <w:rPr>
          <w:rStyle w:val="Strong"/>
          <w:rFonts w:cs="Calibri" w:ascii="Times New Roman" w:hAnsi="Times New Roman" w:cstheme="minorHAnsi"/>
          <w:b w:val="false"/>
          <w:bCs w:val="false"/>
          <w:lang w:eastAsia="en-US"/>
        </w:rPr>
        <w:t>por inexigibilidade de licitação</w:t>
      </w:r>
      <w:r>
        <w:rPr>
          <w:rFonts w:cs="Calibri" w:ascii="Times New Roman" w:hAnsi="Times New Roman" w:cstheme="minorHAnsi"/>
          <w:b w:val="false"/>
          <w:bCs w:val="false"/>
          <w:lang w:eastAsia="en-US"/>
        </w:rPr>
        <w:t xml:space="preserve">, com fundamento no </w:t>
      </w:r>
      <w:r>
        <w:rPr>
          <w:rStyle w:val="Strong"/>
          <w:rFonts w:cs="Calibri" w:ascii="Times New Roman" w:hAnsi="Times New Roman" w:cstheme="minorHAnsi"/>
          <w:b w:val="false"/>
          <w:bCs w:val="false"/>
          <w:lang w:eastAsia="en-US"/>
        </w:rPr>
        <w:t>artigo 74, inciso III, da Lei nº 14.133, de 1º de abril de 2021</w:t>
      </w:r>
      <w:r>
        <w:rPr>
          <w:rFonts w:cs="Calibri" w:ascii="Times New Roman" w:hAnsi="Times New Roman" w:cstheme="minorHAnsi"/>
          <w:b w:val="false"/>
          <w:bCs w:val="false"/>
          <w:lang w:eastAsia="en-US"/>
        </w:rPr>
        <w:t xml:space="preserve">, que admite a contratação direta quando houver inviabilidade de competição, notadamente para a contratação de </w:t>
      </w:r>
      <w:r>
        <w:rPr>
          <w:rStyle w:val="Strong"/>
          <w:rFonts w:cs="Calibri" w:ascii="Times New Roman" w:hAnsi="Times New Roman" w:cstheme="minorHAnsi"/>
          <w:b w:val="false"/>
          <w:bCs w:val="false"/>
          <w:lang w:eastAsia="en-US"/>
        </w:rPr>
        <w:t>serviços técnicos especializados de natureza predominantemente intelectual</w:t>
      </w:r>
      <w:r>
        <w:rPr>
          <w:rFonts w:cs="Calibri" w:ascii="Times New Roman" w:hAnsi="Times New Roman" w:cstheme="minorHAnsi"/>
          <w:b w:val="false"/>
          <w:bCs w:val="false"/>
          <w:lang w:eastAsia="en-US"/>
        </w:rPr>
        <w:t>.</w:t>
      </w:r>
    </w:p>
    <w:p>
      <w:pPr>
        <w:pStyle w:val="BodyText"/>
        <w:spacing w:lineRule="auto" w:line="276" w:before="57" w:after="57"/>
        <w:rPr>
          <w:rFonts w:ascii="Times New Roman" w:hAnsi="Times New Roman" w:cs="Calibri" w:cstheme="minorHAnsi"/>
          <w:lang w:eastAsia="en-US"/>
        </w:rPr>
      </w:pPr>
      <w:r>
        <w:rPr>
          <w:rStyle w:val="Strong"/>
          <w:rFonts w:cs="Calibri" w:ascii="Times New Roman" w:hAnsi="Times New Roman" w:cstheme="minorHAnsi"/>
          <w:b w:val="false"/>
          <w:bCs w:val="false"/>
          <w:lang w:eastAsia="en-US"/>
        </w:rPr>
        <w:t>7.3.</w:t>
      </w:r>
      <w:r>
        <w:rPr>
          <w:rFonts w:cs="Calibri" w:ascii="Times New Roman" w:hAnsi="Times New Roman" w:cstheme="minorHAnsi"/>
          <w:b w:val="false"/>
          <w:bCs w:val="false"/>
          <w:lang w:eastAsia="en-US"/>
        </w:rPr>
        <w:t xml:space="preserve"> Quanto ao enquadramento como </w:t>
      </w:r>
      <w:r>
        <w:rPr>
          <w:rStyle w:val="Strong"/>
          <w:rFonts w:cs="Calibri" w:ascii="Times New Roman" w:hAnsi="Times New Roman" w:cstheme="minorHAnsi"/>
          <w:b w:val="false"/>
          <w:bCs w:val="false"/>
          <w:lang w:eastAsia="en-US"/>
        </w:rPr>
        <w:t>serviços técnicos especializados</w:t>
      </w:r>
      <w:r>
        <w:rPr>
          <w:rFonts w:cs="Calibri" w:ascii="Times New Roman" w:hAnsi="Times New Roman" w:cstheme="minorHAnsi"/>
          <w:b w:val="false"/>
          <w:bCs w:val="false"/>
          <w:lang w:eastAsia="en-US"/>
        </w:rPr>
        <w:t xml:space="preserve">, a solução a ser contratada está prevista no </w:t>
      </w:r>
      <w:r>
        <w:rPr>
          <w:rStyle w:val="Strong"/>
          <w:rFonts w:cs="Calibri" w:ascii="Times New Roman" w:hAnsi="Times New Roman" w:cstheme="minorHAnsi"/>
          <w:b w:val="false"/>
          <w:bCs w:val="false"/>
          <w:lang w:eastAsia="en-US"/>
        </w:rPr>
        <w:t>art. 6º, inciso XXI, da Lei nº 14.133/2021</w:t>
      </w:r>
      <w:r>
        <w:rPr>
          <w:rFonts w:cs="Calibri" w:ascii="Times New Roman" w:hAnsi="Times New Roman" w:cstheme="minorHAnsi"/>
          <w:b w:val="false"/>
          <w:bCs w:val="false"/>
          <w:lang w:eastAsia="en-US"/>
        </w:rPr>
        <w:t xml:space="preserve">, que inclui, entre outros, o </w:t>
      </w:r>
      <w:r>
        <w:rPr>
          <w:rStyle w:val="Strong"/>
          <w:rFonts w:cs="Calibri" w:ascii="Times New Roman" w:hAnsi="Times New Roman" w:cstheme="minorHAnsi"/>
          <w:b w:val="false"/>
          <w:bCs w:val="false"/>
          <w:lang w:eastAsia="en-US"/>
        </w:rPr>
        <w:t>treinamento e aperfeiçoamento de pessoal</w:t>
      </w:r>
      <w:r>
        <w:rPr>
          <w:rFonts w:cs="Calibri" w:ascii="Times New Roman" w:hAnsi="Times New Roman" w:cstheme="minorHAnsi"/>
          <w:b w:val="false"/>
          <w:bCs w:val="false"/>
          <w:lang w:eastAsia="en-US"/>
        </w:rPr>
        <w:t xml:space="preserve"> como atividade de natureza predominantemente intelectual, justificando a adoção do regime de inexigibilidade.</w:t>
      </w:r>
    </w:p>
    <w:p>
      <w:pPr>
        <w:pStyle w:val="BodyText"/>
        <w:spacing w:lineRule="auto" w:line="276" w:before="57" w:after="57"/>
        <w:rPr>
          <w:rFonts w:ascii="Times New Roman" w:hAnsi="Times New Roman" w:cs="Calibri" w:cstheme="minorHAnsi"/>
          <w:lang w:eastAsia="en-US"/>
        </w:rPr>
      </w:pPr>
      <w:r>
        <w:rPr>
          <w:rStyle w:val="Strong"/>
          <w:rFonts w:cs="Calibri" w:ascii="Times New Roman" w:hAnsi="Times New Roman" w:cstheme="minorHAnsi"/>
          <w:b w:val="false"/>
          <w:bCs w:val="false"/>
          <w:lang w:eastAsia="en-US"/>
        </w:rPr>
        <w:t>7.4.</w:t>
      </w:r>
      <w:r>
        <w:rPr>
          <w:rFonts w:cs="Calibri" w:ascii="Times New Roman" w:hAnsi="Times New Roman" w:cstheme="minorHAnsi"/>
          <w:b w:val="false"/>
          <w:bCs w:val="false"/>
          <w:lang w:eastAsia="en-US"/>
        </w:rPr>
        <w:t xml:space="preserve"> Constatou-se a </w:t>
      </w:r>
      <w:r>
        <w:rPr>
          <w:rStyle w:val="Strong"/>
          <w:rFonts w:cs="Calibri" w:ascii="Times New Roman" w:hAnsi="Times New Roman" w:cstheme="minorHAnsi"/>
          <w:b w:val="false"/>
          <w:bCs w:val="false"/>
          <w:lang w:eastAsia="en-US"/>
        </w:rPr>
        <w:t>inviabilidade de competição</w:t>
      </w:r>
      <w:r>
        <w:rPr>
          <w:rFonts w:cs="Calibri" w:ascii="Times New Roman" w:hAnsi="Times New Roman" w:cstheme="minorHAnsi"/>
          <w:b w:val="false"/>
          <w:bCs w:val="false"/>
          <w:lang w:eastAsia="en-US"/>
        </w:rPr>
        <w:t xml:space="preserve">, em razão da </w:t>
      </w:r>
      <w:r>
        <w:rPr>
          <w:rStyle w:val="Strong"/>
          <w:rFonts w:cs="Calibri" w:ascii="Times New Roman" w:hAnsi="Times New Roman" w:cstheme="minorHAnsi"/>
          <w:b w:val="false"/>
          <w:bCs w:val="false"/>
          <w:lang w:eastAsia="en-US"/>
        </w:rPr>
        <w:t>ausência de critérios objetivos de comparação entre os serviços ofertados</w:t>
      </w:r>
      <w:r>
        <w:rPr>
          <w:rFonts w:cs="Calibri" w:ascii="Times New Roman" w:hAnsi="Times New Roman" w:cstheme="minorHAnsi"/>
          <w:b w:val="false"/>
          <w:bCs w:val="false"/>
          <w:lang w:eastAsia="en-US"/>
        </w:rPr>
        <w:t xml:space="preserve">, uma vez que o objeto da contratação envolve </w:t>
      </w:r>
      <w:r>
        <w:rPr>
          <w:rStyle w:val="Strong"/>
          <w:rFonts w:cs="Calibri" w:ascii="Times New Roman" w:hAnsi="Times New Roman" w:cstheme="minorHAnsi"/>
          <w:b w:val="false"/>
          <w:bCs w:val="false"/>
          <w:lang w:eastAsia="en-US"/>
        </w:rPr>
        <w:t>conteúdo técnico e caráter subjetivo</w:t>
      </w:r>
      <w:r>
        <w:rPr>
          <w:rFonts w:cs="Calibri" w:ascii="Times New Roman" w:hAnsi="Times New Roman" w:cstheme="minorHAnsi"/>
          <w:b w:val="false"/>
          <w:bCs w:val="false"/>
          <w:lang w:eastAsia="en-US"/>
        </w:rPr>
        <w:t xml:space="preserve">, não sendo possível estabelecer parâmetros padronizados de julgamento com base em </w:t>
      </w:r>
      <w:r>
        <w:rPr>
          <w:rStyle w:val="Strong"/>
          <w:rFonts w:cs="Calibri" w:ascii="Times New Roman" w:hAnsi="Times New Roman" w:cstheme="minorHAnsi"/>
          <w:b w:val="false"/>
          <w:bCs w:val="false"/>
          <w:lang w:eastAsia="en-US"/>
        </w:rPr>
        <w:t>preço ou técnica</w:t>
      </w:r>
      <w:r>
        <w:rPr>
          <w:rFonts w:cs="Calibri" w:ascii="Times New Roman" w:hAnsi="Times New Roman" w:cstheme="minorHAnsi"/>
          <w:b w:val="false"/>
          <w:bCs w:val="false"/>
          <w:lang w:eastAsia="en-US"/>
        </w:rPr>
        <w:t>. Dessa forma, não há possibilidade de se delimitar critérios que permitam a comparação equânime entre os produtos e serviços eventualmente disponíveis no mercado.</w:t>
      </w:r>
    </w:p>
    <w:p>
      <w:pPr>
        <w:pStyle w:val="BodyText"/>
        <w:spacing w:lineRule="auto" w:line="276" w:before="57" w:after="57"/>
        <w:rPr>
          <w:rFonts w:ascii="Times New Roman" w:hAnsi="Times New Roman" w:cs="Calibri" w:cstheme="minorHAnsi"/>
          <w:lang w:eastAsia="en-US"/>
        </w:rPr>
      </w:pPr>
      <w:r>
        <w:rPr>
          <w:rFonts w:cs="Calibri" w:cstheme="minorHAnsi" w:ascii="Times New Roman" w:hAnsi="Times New Roman"/>
          <w:b w:val="false"/>
          <w:bCs w:val="false"/>
          <w:sz w:val="24"/>
          <w:szCs w:val="24"/>
          <w:lang w:eastAsia="en-US"/>
        </w:rPr>
        <w:t xml:space="preserve">7.5. </w:t>
      </w:r>
      <w:r>
        <w:rPr>
          <w:rFonts w:cs="Calibri" w:cstheme="minorHAnsi" w:ascii="Times New Roman" w:hAnsi="Times New Roman"/>
          <w:lang w:eastAsia="en-US"/>
        </w:rPr>
        <w:t xml:space="preserve">A escolha da empresa </w:t>
      </w:r>
      <w:r>
        <w:rPr>
          <w:rStyle w:val="Strong"/>
          <w:rFonts w:cs="Calibri" w:cstheme="minorHAnsi" w:ascii="Times New Roman" w:hAnsi="Times New Roman"/>
          <w:lang w:eastAsia="en-US"/>
        </w:rPr>
        <w:t>ICAGES – KELI LETICIA BIGUELINI LTDA</w:t>
      </w:r>
      <w:r>
        <w:rPr>
          <w:rFonts w:cs="Calibri" w:cstheme="minorHAnsi" w:ascii="Times New Roman" w:hAnsi="Times New Roman"/>
          <w:lang w:eastAsia="en-US"/>
        </w:rPr>
        <w:t xml:space="preserve"> se justifica pela qualidade do seu portfólio e pela experiência de sua equipe na capacitação de agentes públicos. A instituição atua com foco em gestão pública, planejamento, controle, legislação e capacitações voltadas ao fortalecimento institucional do setor público, especialmente no âmbito do Poder Legislativo. O ICAGES oferece cursos com abordagem atualizada sobre temas como administração pública, licitações, improbidade, controle externo, captação de recursos e práticas de governança, ministrados por profissionais especializados e com sólida experiência na área. A empresa também realiza eventos, treinamentos presenciais e online, com metodologia participativa, voltada à realidade dos órgãos públicos, contribuindo diretamente para o aprimoramento técnico dos participantes e para a melhoria da gestão pública.</w:t>
      </w:r>
    </w:p>
    <w:p>
      <w:pPr>
        <w:pStyle w:val="BodyText"/>
        <w:spacing w:lineRule="auto" w:line="276" w:before="57" w:after="57"/>
        <w:rPr>
          <w:rFonts w:ascii="Times New Roman" w:hAnsi="Times New Roman" w:cs="Calibri" w:cstheme="minorHAnsi"/>
          <w:sz w:val="24"/>
          <w:szCs w:val="24"/>
        </w:rPr>
      </w:pPr>
      <w:r>
        <w:rPr>
          <w:rFonts w:cs="Calibri" w:cstheme="minorHAnsi" w:ascii="Times New Roman" w:hAnsi="Times New Roman"/>
          <w:sz w:val="24"/>
          <w:szCs w:val="24"/>
        </w:rPr>
      </w:r>
    </w:p>
    <w:p>
      <w:pPr>
        <w:pStyle w:val="Normal"/>
        <w:spacing w:lineRule="auto" w:line="276" w:before="171" w:after="171"/>
        <w:jc w:val="both"/>
        <w:rPr/>
      </w:pPr>
      <w:r>
        <w:rPr>
          <w:rFonts w:cs="Calibri" w:cstheme="minorHAnsi"/>
          <w:b/>
          <w:bCs/>
          <w:sz w:val="24"/>
          <w:szCs w:val="24"/>
        </w:rPr>
        <w:t>8. J</w:t>
      </w:r>
      <w:r>
        <w:rPr>
          <w:rFonts w:cs="Calibri" w:cstheme="minorHAnsi"/>
          <w:b/>
          <w:bCs/>
          <w:color w:val="000000"/>
          <w:sz w:val="24"/>
          <w:szCs w:val="24"/>
        </w:rPr>
        <w:t>USTIFICATIVAS PARA O PARCELAMENTO OU NÃO DA CONTRATAÇÃO</w:t>
      </w:r>
    </w:p>
    <w:p>
      <w:pPr>
        <w:pStyle w:val="Normal"/>
        <w:spacing w:lineRule="auto" w:line="276"/>
        <w:jc w:val="both"/>
        <w:rPr/>
      </w:pPr>
      <w:r>
        <w:rPr>
          <w:rFonts w:cs="Calibri" w:cstheme="minorHAnsi"/>
          <w:sz w:val="24"/>
          <w:szCs w:val="24"/>
        </w:rPr>
        <w:t xml:space="preserve">Os itens do presente estudo deverão ser agrupados em razão de ser uma capacitação única para </w:t>
      </w:r>
      <w:r>
        <w:rPr>
          <w:rFonts w:cs="Calibri" w:cstheme="minorHAnsi"/>
          <w:sz w:val="24"/>
          <w:szCs w:val="24"/>
          <w:shd w:fill="auto" w:val="clear"/>
        </w:rPr>
        <w:t>04 (quatro)</w:t>
      </w:r>
      <w:r>
        <w:rPr>
          <w:rFonts w:cs="Calibri" w:cstheme="minorHAnsi"/>
          <w:color w:val="000000"/>
          <w:sz w:val="24"/>
          <w:szCs w:val="24"/>
          <w:shd w:fill="auto" w:val="clear"/>
        </w:rPr>
        <w:t xml:space="preserve"> vereadores</w:t>
      </w:r>
      <w:r>
        <w:rPr>
          <w:rFonts w:cs="Calibri" w:cstheme="minorHAnsi"/>
          <w:sz w:val="24"/>
          <w:szCs w:val="24"/>
        </w:rPr>
        <w:t xml:space="preserve"> e considerando que a necessidade institucional prevê a contratação de apenas um item, a solução possui caráter indivisível, não cabendo, portanto, a previsão de parcelamento do objeto.</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71" w:after="171"/>
        <w:jc w:val="both"/>
        <w:rPr/>
      </w:pPr>
      <w:r>
        <w:rPr>
          <w:rFonts w:cs="Calibri" w:cstheme="minorHAnsi"/>
          <w:b/>
          <w:bCs/>
          <w:sz w:val="24"/>
          <w:szCs w:val="24"/>
        </w:rPr>
        <w:t xml:space="preserve">9. </w:t>
      </w:r>
      <w:bookmarkStart w:id="2" w:name="art18§1ix"/>
      <w:bookmarkEnd w:id="2"/>
      <w:r>
        <w:rPr>
          <w:rFonts w:cs="Calibri" w:cstheme="minorHAnsi"/>
          <w:b/>
          <w:bCs/>
          <w:sz w:val="24"/>
          <w:szCs w:val="24"/>
        </w:rPr>
        <w:t xml:space="preserve">DEMONSTRATIVO DOS RESULTADOS PRETENDIDOS </w:t>
      </w:r>
      <w:bookmarkStart w:id="3" w:name="art18§1x"/>
      <w:bookmarkEnd w:id="3"/>
    </w:p>
    <w:p>
      <w:pPr>
        <w:pStyle w:val="BodyText"/>
        <w:spacing w:lineRule="auto" w:line="276"/>
        <w:jc w:val="both"/>
        <w:rPr/>
      </w:pPr>
      <w:r>
        <w:rPr>
          <w:rStyle w:val="Hyperlink"/>
          <w:rFonts w:cs="Times New Roman" w:ascii="Times New Roman" w:hAnsi="Times New Roman"/>
          <w:color w:val="000000"/>
          <w:u w:val="none"/>
          <w:shd w:fill="auto" w:val="clear"/>
          <w:lang w:val="pt-BR" w:eastAsia="ar-SA" w:bidi="ar-SA"/>
        </w:rPr>
        <w:t>Pretende-se, com a presente contratação, promover a capacitação dos vereadores da Câmara Municipal de Três Passos, contribuindo para o fortalecimento técnico e institucional do Poder Legislativo em temas centrais da gestão pública contemporânea.</w:t>
      </w:r>
    </w:p>
    <w:p>
      <w:pPr>
        <w:pStyle w:val="BodyText"/>
        <w:spacing w:lineRule="auto" w:line="276" w:before="0" w:after="55"/>
        <w:rPr>
          <w:rFonts w:ascii="Times New Roman" w:hAnsi="Times New Roman" w:cs="Times New Roman"/>
          <w:color w:val="000000"/>
          <w:highlight w:val="none"/>
          <w:shd w:fill="auto" w:val="clear"/>
          <w:lang w:eastAsia="ar-SA"/>
        </w:rPr>
      </w:pPr>
      <w:r>
        <w:rPr>
          <w:rFonts w:cs="Times New Roman" w:ascii="Times New Roman" w:hAnsi="Times New Roman"/>
          <w:color w:val="000000"/>
          <w:shd w:fill="auto" w:val="clear"/>
          <w:lang w:eastAsia="ar-SA"/>
        </w:rPr>
        <w:t>Com base na programação do curso “Desempenho de Gestão Integrada: Estratégias, Práticas Avançadas e Legislação”, espera-se o aprimoramento das competências relacionadas à condução do mandato parlamentar, ao controle dos atos da administração pública, à compreensão da legislação vigente — incluindo a nova Lei de Licitações (Lei nº 14.133/2021), a Lei de Improbidade Administrativa e os mecanismos de fiscalização dos Tribunais de Contas —, bem como ao entendimento da imunidade parlamentar e das práticas de governança, integridade e captação de recursos.</w:t>
      </w:r>
    </w:p>
    <w:p>
      <w:pPr>
        <w:pStyle w:val="BodyText"/>
        <w:spacing w:lineRule="auto" w:line="276" w:before="0" w:after="0"/>
        <w:rPr>
          <w:rFonts w:ascii="Times New Roman" w:hAnsi="Times New Roman" w:cs="Times New Roman"/>
          <w:color w:val="000000"/>
          <w:highlight w:val="none"/>
          <w:shd w:fill="auto" w:val="clear"/>
          <w:lang w:eastAsia="ar-SA"/>
        </w:rPr>
      </w:pPr>
      <w:r>
        <w:rPr>
          <w:rFonts w:cs="Times New Roman" w:ascii="Times New Roman" w:hAnsi="Times New Roman"/>
          <w:color w:val="000000"/>
          <w:shd w:fill="auto" w:val="clear"/>
          <w:lang w:eastAsia="ar-SA"/>
        </w:rPr>
        <w:t>Espera-se ainda estimular a troca de experiências com outros agentes públicos e especialistas da área, favorecendo a consolidação de boas práticas legislativas e o aperfeiçoamento dos mecanismos de controle, transparência e eficiência no âmbito do Legislativo.</w:t>
      </w:r>
    </w:p>
    <w:p>
      <w:pPr>
        <w:pStyle w:val="BodyText"/>
        <w:spacing w:lineRule="auto" w:line="276" w:before="0" w:after="0"/>
        <w:rPr>
          <w:rFonts w:ascii="Times New Roman" w:hAnsi="Times New Roman" w:cs="Times New Roman"/>
          <w:color w:val="000000"/>
          <w:highlight w:val="none"/>
          <w:shd w:fill="auto" w:val="clear"/>
          <w:lang w:eastAsia="ar-SA"/>
        </w:rPr>
      </w:pPr>
      <w:r>
        <w:rPr>
          <w:rFonts w:cs="Times New Roman" w:ascii="Times New Roman" w:hAnsi="Times New Roman"/>
          <w:color w:val="000000"/>
          <w:shd w:fill="auto" w:val="clear"/>
          <w:lang w:eastAsia="ar-SA"/>
        </w:rPr>
        <w:t>Como resultado, almeja-se uma atuação mais qualificada, ética e estratégica por parte dos parlamentares, com reflexos positivos na tomada de decisões, na fiscalização dos recursos públicos e na promoção do interesse coletivo.</w:t>
      </w:r>
    </w:p>
    <w:p>
      <w:pPr>
        <w:pStyle w:val="BodyText"/>
        <w:spacing w:lineRule="auto" w:line="276"/>
        <w:jc w:val="both"/>
        <w:rPr>
          <w:highlight w:val="none"/>
          <w:shd w:fill="FF8000" w:val="clear"/>
        </w:rPr>
      </w:pPr>
      <w:r>
        <w:rPr/>
      </w:r>
    </w:p>
    <w:p>
      <w:pPr>
        <w:pStyle w:val="Normal"/>
        <w:spacing w:lineRule="auto" w:line="276" w:before="228" w:after="228"/>
        <w:jc w:val="both"/>
        <w:rPr>
          <w:highlight w:val="none"/>
          <w:shd w:fill="auto" w:val="clear"/>
        </w:rPr>
      </w:pPr>
      <w:r>
        <w:rPr>
          <w:rFonts w:cs="Calibri" w:cstheme="minorHAnsi"/>
          <w:b/>
          <w:bCs/>
          <w:color w:val="000000"/>
          <w:sz w:val="24"/>
          <w:szCs w:val="24"/>
          <w:shd w:fill="auto" w:val="clear"/>
        </w:rPr>
        <w:t xml:space="preserve">10. PROVIDÊNCIAS A SEREM ADOTADAS PELA CÂMARA MUNICIPAL </w:t>
      </w:r>
      <w:bookmarkStart w:id="4" w:name="art18§1xi"/>
      <w:bookmarkEnd w:id="4"/>
    </w:p>
    <w:p>
      <w:pPr>
        <w:pStyle w:val="Normal"/>
        <w:jc w:val="both"/>
        <w:rPr>
          <w:rFonts w:ascii="Times New Roman" w:hAnsi="Times New Roman"/>
        </w:rPr>
      </w:pPr>
      <w:r>
        <w:rPr>
          <w:rFonts w:cs="Calibri" w:cstheme="minorHAnsi"/>
          <w:b w:val="false"/>
          <w:bCs w:val="false"/>
          <w:color w:val="000000"/>
          <w:sz w:val="24"/>
          <w:szCs w:val="24"/>
          <w:shd w:fill="auto" w:val="clear"/>
        </w:rPr>
        <w:t>Deverá ser providenciado o pagamento de diárias ao</w:t>
      </w:r>
      <w:r>
        <w:rPr>
          <w:rFonts w:cs="Calibri" w:cstheme="minorHAnsi"/>
          <w:b w:val="false"/>
          <w:bCs w:val="false"/>
          <w:color w:val="000000"/>
          <w:sz w:val="24"/>
          <w:szCs w:val="24"/>
          <w:shd w:fill="auto" w:val="clear"/>
        </w:rPr>
        <w:t>s vereadores</w:t>
      </w:r>
      <w:r>
        <w:rPr>
          <w:rFonts w:cs="Calibri" w:cstheme="minorHAnsi"/>
          <w:b w:val="false"/>
          <w:bCs w:val="false"/>
          <w:color w:val="000000"/>
          <w:sz w:val="24"/>
          <w:szCs w:val="24"/>
          <w:shd w:fill="auto" w:val="clear"/>
        </w:rPr>
        <w:t xml:space="preserve">, em face de o curso realizar-se fora da sede do Município. </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pPr>
      <w:r>
        <w:rPr>
          <w:rFonts w:cs="Calibri" w:cstheme="minorHAnsi"/>
          <w:b/>
          <w:bCs/>
          <w:color w:val="000000"/>
          <w:sz w:val="24"/>
          <w:szCs w:val="24"/>
        </w:rPr>
        <w:t>11. CONTRATAÇÕES CORRELATAS E/OU INTERDEPENDENTES</w:t>
      </w:r>
    </w:p>
    <w:p>
      <w:pPr>
        <w:pStyle w:val="NormalWeb"/>
        <w:spacing w:lineRule="auto" w:line="276" w:beforeAutospacing="0" w:before="225" w:afterAutospacing="0" w:after="225"/>
        <w:ind w:hanging="0"/>
        <w:jc w:val="both"/>
        <w:rPr/>
      </w:pPr>
      <w:r>
        <w:rPr>
          <w:rFonts w:cs="Calibri" w:cstheme="minorHAnsi"/>
        </w:rPr>
        <w:t>A necessidade institucional do presente Estudo, não possui relação com outras contratações da Instituição, inclusive futuras.</w:t>
      </w:r>
    </w:p>
    <w:p>
      <w:pPr>
        <w:pStyle w:val="NormalWeb"/>
        <w:spacing w:lineRule="auto" w:line="276" w:beforeAutospacing="0" w:before="225" w:afterAutospacing="0" w:after="225"/>
        <w:jc w:val="both"/>
        <w:rPr/>
      </w:pPr>
      <w:r>
        <w:rPr>
          <w:rFonts w:cs="Calibri" w:cstheme="minorHAnsi"/>
          <w:b/>
          <w:bCs/>
          <w:color w:val="000000"/>
        </w:rPr>
        <w:t>12. DESCRIÇÃO DE POSSÍVEIS IMPACTOS AMBIENTAIS</w:t>
      </w:r>
      <w:bookmarkStart w:id="5" w:name="art18§1xiii"/>
      <w:bookmarkEnd w:id="5"/>
      <w:r>
        <w:rPr>
          <w:rFonts w:cs="Calibri" w:cstheme="minorHAnsi"/>
          <w:b/>
          <w:bCs/>
          <w:color w:val="000000"/>
        </w:rPr>
        <w:t>:</w:t>
      </w:r>
    </w:p>
    <w:p>
      <w:pPr>
        <w:pStyle w:val="NormalWeb"/>
        <w:spacing w:lineRule="auto" w:line="276" w:beforeAutospacing="0" w:before="225" w:afterAutospacing="0" w:after="225"/>
        <w:jc w:val="both"/>
        <w:rPr/>
      </w:pPr>
      <w:r>
        <w:rPr>
          <w:rFonts w:cs="Calibri" w:cstheme="minorHAnsi"/>
          <w:color w:val="000000"/>
        </w:rPr>
        <w:t>Não se aplica.</w:t>
      </w:r>
    </w:p>
    <w:p>
      <w:pPr>
        <w:pStyle w:val="NormalWeb"/>
        <w:spacing w:lineRule="auto" w:line="276" w:beforeAutospacing="0" w:before="225" w:afterAutospacing="0" w:after="225"/>
        <w:jc w:val="both"/>
        <w:rPr/>
      </w:pPr>
      <w:r>
        <w:rPr>
          <w:rFonts w:cs="Calibri" w:cstheme="minorHAnsi"/>
          <w:b/>
          <w:bCs/>
          <w:color w:val="000000"/>
        </w:rPr>
        <w:t>13. POSICIONAMENTO CONCLUSIVO</w:t>
      </w:r>
    </w:p>
    <w:p>
      <w:pPr>
        <w:pStyle w:val="NormalWeb"/>
        <w:spacing w:lineRule="auto" w:line="276" w:beforeAutospacing="0" w:before="225" w:afterAutospacing="0" w:after="225"/>
        <w:jc w:val="both"/>
        <w:rPr/>
      </w:pPr>
      <w:r>
        <w:rPr>
          <w:rFonts w:cs="Calibri" w:cstheme="minorHAnsi"/>
        </w:rPr>
        <w:t>Analisa-se a presente contratação como viável e essencial à esta Câmara Municipal, haja vista ter sido prevista no planejamento orçamentário com os devidos recursos envolvidos, bem como, foi objeto de avaliação e autorização pelo presidente, responsável pela autorização prévia de solicitações de capacitação.</w:t>
      </w:r>
    </w:p>
    <w:p>
      <w:pPr>
        <w:pStyle w:val="NormalWeb"/>
        <w:spacing w:lineRule="auto" w:line="276" w:beforeAutospacing="0" w:before="225" w:afterAutospacing="0" w:after="225"/>
        <w:jc w:val="both"/>
        <w:rPr/>
      </w:pPr>
      <w:r>
        <w:rPr>
          <w:rFonts w:cs="Calibri" w:cstheme="minorHAnsi"/>
        </w:rPr>
        <w:t>De acordo com o documento de formalização da demanda deste processo, as justificativas e demanda apresentada foi aprovada e aprovada pelo setor competente.</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5</w:t>
      </w:r>
      <w:r>
        <w:rPr>
          <w:rFonts w:cs="Calibri" w:cstheme="minorHAnsi"/>
          <w:b/>
          <w:bCs/>
          <w:sz w:val="24"/>
          <w:szCs w:val="24"/>
        </w:rPr>
        <w:t>/</w:t>
      </w:r>
      <w:r>
        <w:rPr>
          <w:rFonts w:cs="Calibri" w:cstheme="minorHAnsi"/>
          <w:b/>
          <w:bCs/>
          <w:sz w:val="24"/>
          <w:szCs w:val="24"/>
        </w:rPr>
        <w:t>8</w:t>
      </w:r>
      <w:r>
        <w:rPr>
          <w:rFonts w:cs="Calibri" w:cstheme="minorHAnsi"/>
          <w:b/>
          <w:bCs/>
          <w:sz w:val="24"/>
          <w:szCs w:val="24"/>
        </w:rPr>
        <w:t>/2025</w:t>
      </w:r>
    </w:p>
    <w:p>
      <w:pPr>
        <w:pStyle w:val="Normal"/>
        <w:spacing w:lineRule="auto" w:line="276"/>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both"/>
        <w:rPr/>
      </w:pPr>
      <w:r>
        <w:rPr>
          <w:rFonts w:cs="Calibri" w:cstheme="minorHAnsi"/>
          <w:b/>
          <w:bCs/>
          <w:sz w:val="24"/>
          <w:szCs w:val="24"/>
        </w:rPr>
        <w:t>_______________________</w:t>
      </w:r>
    </w:p>
    <w:p>
      <w:pPr>
        <w:pStyle w:val="Normal"/>
        <w:spacing w:lineRule="auto" w:line="276"/>
        <w:jc w:val="both"/>
        <w:rPr/>
      </w:pPr>
      <w:r>
        <w:rPr>
          <w:rFonts w:cs="Calibri" w:cstheme="minorHAnsi"/>
          <w:b/>
          <w:bCs/>
          <w:sz w:val="24"/>
          <w:szCs w:val="24"/>
        </w:rPr>
        <w:t>Emanuelle Cavalcante Carvalho Petrazzini</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cs="Calibri" w:cstheme="minorHAnsi"/>
          <w:b/>
          <w:bCs/>
          <w:color w:val="FF0000"/>
          <w:sz w:val="24"/>
          <w:szCs w:val="24"/>
        </w:rPr>
      </w:pPr>
      <w:r>
        <w:rPr>
          <w:rFonts w:cs="Calibri" w:cstheme="minorHAnsi"/>
          <w:b/>
          <w:bCs/>
          <w:color w:val="FF0000"/>
          <w:sz w:val="24"/>
          <w:szCs w:val="24"/>
        </w:rPr>
      </w:r>
    </w:p>
    <w:p>
      <w:pPr>
        <w:pStyle w:val="Normal"/>
        <w:spacing w:lineRule="auto" w:line="276"/>
        <w:rPr>
          <w:rFonts w:ascii="Times New Roman" w:hAnsi="Times New Roman" w:cs="Calibri" w:cstheme="minorHAnsi"/>
          <w:b/>
          <w:bCs/>
          <w:spacing w:val="-10"/>
          <w:kern w:val="2"/>
          <w:sz w:val="24"/>
          <w:szCs w:val="24"/>
        </w:rPr>
      </w:pPr>
      <w:r>
        <w:rPr>
          <w:rFonts w:cs="Calibri" w:cstheme="minorHAnsi"/>
          <w:b/>
          <w:bCs/>
          <w:spacing w:val="-10"/>
          <w:kern w:val="2"/>
          <w:sz w:val="24"/>
          <w:szCs w:val="24"/>
        </w:rPr>
      </w:r>
      <w:r>
        <w:br w:type="page"/>
      </w:r>
    </w:p>
    <w:p>
      <w:pPr>
        <w:pStyle w:val="Heading1"/>
        <w:spacing w:lineRule="auto" w:line="276" w:before="0" w:after="0"/>
        <w:jc w:val="center"/>
        <w:rPr/>
      </w:pPr>
      <w:r>
        <w:rPr>
          <w:rStyle w:val="Ttulo1Char"/>
          <w:rFonts w:cs="Calibri" w:cstheme="minorHAnsi"/>
          <w:b/>
          <w:bCs/>
          <w:sz w:val="24"/>
          <w:szCs w:val="24"/>
        </w:rPr>
        <w:t>TERMO DE REFERÊNCIA N. 37</w:t>
      </w:r>
      <w:r>
        <w:rPr>
          <w:rStyle w:val="Ttulo1Char"/>
          <w:rFonts w:cs="Calibri" w:cstheme="minorHAnsi"/>
          <w:b/>
          <w:bCs/>
          <w:sz w:val="24"/>
          <w:szCs w:val="24"/>
          <w:shd w:fill="auto" w:val="clear"/>
        </w:rPr>
        <w:t>/2025</w:t>
      </w:r>
    </w:p>
    <w:p>
      <w:pPr>
        <w:pStyle w:val="Normal"/>
        <w:spacing w:lineRule="auto" w:line="276"/>
        <w:rPr>
          <w:rFonts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Unidade Solicitante: CÂMARA MUNICIPAL DE TRÊS PASSOS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1. DEFINIÇÃO DO OBJETO </w:t>
      </w:r>
    </w:p>
    <w:p>
      <w:pPr>
        <w:pStyle w:val="Normal"/>
        <w:spacing w:lineRule="auto" w:line="276"/>
        <w:jc w:val="both"/>
        <w:rPr/>
      </w:pPr>
      <w:r>
        <w:rPr>
          <w:rFonts w:cs="Calibri" w:cstheme="minorHAnsi"/>
          <w:sz w:val="24"/>
          <w:szCs w:val="24"/>
        </w:rPr>
        <w:t>1.1. Contratação de serviços de capacitação de agentes públicos, conforme condições e exigências estabelecidas neste instrumento nos seguintes termos:</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19"/>
        <w:gridCol w:w="7040"/>
        <w:gridCol w:w="1603"/>
      </w:tblGrid>
      <w:tr>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Item</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Especificação</w:t>
            </w:r>
          </w:p>
        </w:tc>
        <w:tc>
          <w:tcPr>
            <w:tcW w:w="1603"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Quantidade</w:t>
            </w:r>
          </w:p>
        </w:tc>
      </w:tr>
      <w:tr>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1</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w:t>
            </w:r>
            <w:r>
              <w:rPr>
                <w:rStyle w:val="Fontepargpadro"/>
                <w:rFonts w:eastAsia="Calibri" w:cs="Times New Roman"/>
                <w:b w:val="false"/>
                <w:bCs w:val="false"/>
                <w:i w:val="false"/>
                <w:iCs w:val="false"/>
                <w:color w:val="000000"/>
                <w:w w:val="115"/>
                <w:kern w:val="0"/>
                <w:sz w:val="20"/>
                <w:szCs w:val="20"/>
                <w:u w:val="none"/>
                <w:shd w:fill="auto" w:val="clear"/>
                <w:lang w:val="pt-BR" w:eastAsia="en-US" w:bidi="ar-SA"/>
              </w:rPr>
              <w:t>curso  “</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Desempenho de Gestão Integrada: Estratégias, Práticas Avançadas e Legislação</w:t>
            </w:r>
            <w:r>
              <w:rPr>
                <w:rStyle w:val="Hyperlink"/>
                <w:rFonts w:eastAsia="Calibri" w:cs="Times New Roman"/>
                <w:b w:val="false"/>
                <w:bCs w:val="false"/>
                <w:i w:val="false"/>
                <w:iCs w:val="false"/>
                <w:color w:val="000000"/>
                <w:w w:val="115"/>
                <w:kern w:val="0"/>
                <w:sz w:val="20"/>
                <w:szCs w:val="20"/>
                <w:u w:val="none"/>
                <w:shd w:fill="auto" w:val="clear"/>
                <w:lang w:val="pt-BR" w:eastAsia="ar-SA" w:bidi="ar-SA"/>
              </w:rPr>
              <w:t>.”</w:t>
            </w:r>
          </w:p>
        </w:tc>
        <w:tc>
          <w:tcPr>
            <w:tcW w:w="1603"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04</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1.2. O objeto da contratação compreende a prestação de s</w:t>
      </w:r>
      <w:r>
        <w:rPr>
          <w:rFonts w:cs="Calibri" w:cstheme="minorHAnsi"/>
          <w:color w:val="000000"/>
          <w:sz w:val="24"/>
          <w:szCs w:val="24"/>
        </w:rPr>
        <w:t>erviços técnicos especializados de natureza predominantemente intelectual,</w:t>
      </w:r>
      <w:r>
        <w:rPr>
          <w:rFonts w:cs="Calibri" w:cstheme="minorHAnsi"/>
          <w:sz w:val="24"/>
          <w:szCs w:val="24"/>
        </w:rPr>
        <w:t xml:space="preserve"> nos termos do art. 6º, inciso XVIII da Lei nº 14.133, de 2021.</w:t>
      </w:r>
    </w:p>
    <w:p>
      <w:pPr>
        <w:pStyle w:val="Normal"/>
        <w:spacing w:lineRule="auto" w:line="276"/>
        <w:jc w:val="both"/>
        <w:rPr/>
      </w:pPr>
      <w:r>
        <w:rPr>
          <w:rFonts w:cs="Calibri" w:cstheme="minorHAnsi"/>
          <w:sz w:val="24"/>
          <w:szCs w:val="24"/>
        </w:rPr>
        <w:t>1.3. Os serviços pretendidos não possuem natureza continuada, em razão de que a consecução de sua finalidade pública se dará de forma específica e imediata.</w:t>
      </w:r>
    </w:p>
    <w:p>
      <w:pPr>
        <w:pStyle w:val="Normal"/>
        <w:spacing w:lineRule="auto" w:line="276"/>
        <w:jc w:val="both"/>
        <w:rPr/>
      </w:pPr>
      <w:r>
        <w:rPr>
          <w:rFonts w:cs="Calibri" w:cstheme="minorHAnsi"/>
          <w:sz w:val="24"/>
          <w:szCs w:val="24"/>
        </w:rPr>
        <w:t xml:space="preserve">1.4. O prazo para execução do serviço será de acordo com o cronograma do evento de capacitação, de acordo com a data de realização do curso, ou seja, </w:t>
      </w:r>
      <w:r>
        <w:rPr>
          <w:rFonts w:cs="Calibri" w:cstheme="minorHAnsi"/>
          <w:b w:val="false"/>
          <w:bCs w:val="false"/>
          <w:sz w:val="24"/>
          <w:szCs w:val="24"/>
        </w:rPr>
        <w:t>nos</w:t>
      </w:r>
      <w:r>
        <w:rPr>
          <w:rFonts w:cs="Calibri" w:cstheme="minorHAnsi"/>
          <w:b/>
          <w:bCs/>
          <w:sz w:val="24"/>
          <w:szCs w:val="24"/>
        </w:rPr>
        <w:t xml:space="preserve"> dias 12 a 15 de agosto de 2025.</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2. FUNDAMENTAÇÃO E DESCRIÇÃO DA NECESSIDADE DA CONTRATAÇÃO </w:t>
      </w:r>
    </w:p>
    <w:p>
      <w:pPr>
        <w:pStyle w:val="Normal"/>
        <w:spacing w:lineRule="auto" w:line="276"/>
        <w:jc w:val="both"/>
        <w:rPr/>
      </w:pPr>
      <w:r>
        <w:rPr>
          <w:rFonts w:cs="Calibri" w:cstheme="minorHAnsi"/>
          <w:sz w:val="24"/>
          <w:szCs w:val="24"/>
        </w:rPr>
        <w:t xml:space="preserve">2.1 A contratação se fundamenta na necessidade de capacitação permanente dos agentes públicos para aplicação da Lei nº 14.133, de 2021. </w:t>
      </w:r>
    </w:p>
    <w:p>
      <w:pPr>
        <w:pStyle w:val="Normal"/>
        <w:spacing w:lineRule="auto" w:line="276"/>
        <w:jc w:val="both"/>
        <w:rPr/>
      </w:pPr>
      <w:r>
        <w:rPr>
          <w:rFonts w:cs="Calibri" w:cstheme="minorHAnsi"/>
          <w:sz w:val="24"/>
          <w:szCs w:val="24"/>
        </w:rPr>
        <w:t xml:space="preserve">Ressaltamos, que a capacitação de vereadores resulta em eficiência do trabalho, melhor investimento dos recursos públicos, decisões mais seguras, diminuição dos riscos envolvendo o uso do dinheiro público, através de aperfeiçoamento e assimilação de novos conhecimentos normativos e procedimentais. Nesse sentido, há necessidade de capacitação de </w:t>
      </w:r>
      <w:r>
        <w:rPr>
          <w:rFonts w:cs="Calibri" w:cstheme="minorHAnsi"/>
          <w:sz w:val="24"/>
          <w:szCs w:val="24"/>
          <w:shd w:fill="auto" w:val="clear"/>
        </w:rPr>
        <w:t>04 (quatro) vereadores.</w:t>
      </w:r>
    </w:p>
    <w:p>
      <w:pPr>
        <w:pStyle w:val="Normal"/>
        <w:spacing w:lineRule="auto" w:line="276"/>
        <w:jc w:val="both"/>
        <w:rPr/>
      </w:pPr>
      <w:r>
        <w:rPr>
          <w:rFonts w:cs="Calibri" w:cstheme="minorHAnsi"/>
          <w:sz w:val="24"/>
          <w:szCs w:val="24"/>
        </w:rPr>
        <w:t>2.2. O objeto da contratação está previsto no Plano de Contratações Anual de 2025, estando assim alinhada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Normal"/>
        <w:spacing w:lineRule="auto" w:line="276"/>
        <w:jc w:val="both"/>
        <w:rPr/>
      </w:pPr>
      <w:r>
        <w:rPr>
          <w:rFonts w:cs="Calibri" w:cstheme="minorHAnsi"/>
          <w:b/>
          <w:bCs/>
          <w:sz w:val="24"/>
          <w:szCs w:val="24"/>
        </w:rPr>
        <w:t xml:space="preserve">3. DESCRIÇÃO DA SOLUÇÃO COMO UM TODO CONSIDERADO O CICLO DE VIDA DO OBJETO </w:t>
      </w:r>
    </w:p>
    <w:p>
      <w:pPr>
        <w:pStyle w:val="Normal"/>
        <w:spacing w:lineRule="auto" w:line="276"/>
        <w:jc w:val="both"/>
        <w:rPr/>
      </w:pPr>
      <w:r>
        <w:rPr>
          <w:rFonts w:cs="Calibri" w:cstheme="minorHAnsi"/>
          <w:sz w:val="24"/>
          <w:szCs w:val="24"/>
        </w:rPr>
        <w:t xml:space="preserve">3.1 </w:t>
      </w:r>
      <w:r>
        <w:rPr>
          <w:rStyle w:val="Fontepargpadro"/>
          <w:rFonts w:cs="Calibri" w:cstheme="minorHAnsi"/>
          <w:sz w:val="24"/>
          <w:szCs w:val="24"/>
          <w:lang w:val="pt-BR" w:eastAsia="en-US" w:bidi="ar-SA"/>
        </w:rPr>
        <w:t>A presente c</w:t>
      </w:r>
      <w:r>
        <w:rPr>
          <w:rStyle w:val="Fontepargpadro"/>
          <w:rFonts w:cs="Calibri" w:cstheme="minorHAnsi"/>
          <w:sz w:val="24"/>
          <w:szCs w:val="24"/>
          <w:lang w:val="pt-BR" w:eastAsia="ar-SA" w:bidi="ar-SA"/>
        </w:rPr>
        <w:t xml:space="preserve">ontratação de empresa do ramo pertinente tem como objetivo viabilizar a participação de vereadores da Câmara Municipal de Três Passos-RS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Desempenho de Gestão Integrada: Estratégias, Práticas Avançadas e Legislação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r>
        <w:rPr>
          <w:rStyle w:val="Fontepargpadro"/>
          <w:rFonts w:cs="Calibri" w:cstheme="minorHAnsi"/>
          <w:color w:val="auto"/>
          <w:sz w:val="24"/>
          <w:szCs w:val="24"/>
          <w:u w:val="none"/>
          <w:lang w:val="pt-BR" w:eastAsia="ar-SA" w:bidi="ar-SA"/>
        </w:rPr>
        <w:t>.</w:t>
      </w:r>
    </w:p>
    <w:p>
      <w:pPr>
        <w:pStyle w:val="Normal"/>
        <w:spacing w:lineRule="auto" w:line="276"/>
        <w:jc w:val="both"/>
        <w:rPr/>
      </w:pPr>
      <w:r>
        <w:rPr>
          <w:rStyle w:val="Fontepargpadro"/>
          <w:rFonts w:cs="Calibri" w:cstheme="minorHAnsi"/>
          <w:sz w:val="24"/>
          <w:szCs w:val="24"/>
        </w:rPr>
        <w:t>3.2. A contratação será realizada por meio de Processo de Inexigibilidade de Licitação com base no art 74, Inciso III, letra f da Lei 14.133/21.</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4. REQUISITOS DA CONTRATAÇÃO </w:t>
      </w:r>
    </w:p>
    <w:p>
      <w:pPr>
        <w:pStyle w:val="BodyText"/>
        <w:spacing w:lineRule="auto" w:line="276"/>
        <w:jc w:val="both"/>
        <w:rPr>
          <w:rFonts w:ascii="Times New Roman" w:hAnsi="Times New Roman" w:cs="Calibri" w:cstheme="minorHAnsi"/>
          <w:sz w:val="24"/>
          <w:szCs w:val="24"/>
        </w:rPr>
      </w:pPr>
      <w:r>
        <w:rPr>
          <w:rFonts w:cs="Calibri" w:ascii="Times New Roman" w:hAnsi="Times New Roman" w:cstheme="minorHAnsi"/>
          <w:b w:val="false"/>
          <w:bCs w:val="false"/>
          <w:sz w:val="24"/>
          <w:szCs w:val="24"/>
        </w:rPr>
        <w:t>4.1. Os requisitos da contratação abrangem o seguinte:</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 xml:space="preserve">4.1.1. </w:t>
      </w:r>
      <w:r>
        <w:rPr>
          <w:rFonts w:ascii="Times New Roman" w:hAnsi="Times New Roman"/>
        </w:rPr>
        <w:t xml:space="preserve">Conteúdo programático compatível com as necessidades de capacitação dos vereadores, com foco na qualificação para o exercício das funções legislativas e de fiscalização, abordando temas como: princípios da administração pública; responsabilidades do gestor público; atuação do Tribunal de Contas; Lei de Improbidade Administrativa; imunidade parlamentar; compliance e governança; instrumentos legislativos de apoio à gestão; e estratégias de captação e aplicação eficiente de recursos públicos. </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4.1.2. Profissional ou empresa de notória especialização (</w:t>
      </w:r>
      <w:r>
        <w:rPr>
          <w:rStyle w:val="Strong"/>
          <w:rFonts w:cs="Calibri" w:ascii="Times New Roman" w:hAnsi="Times New Roman" w:cstheme="minorHAnsi"/>
          <w:shd w:fill="auto" w:val="clear"/>
        </w:rPr>
        <w:t>KELI LETICIA BIGUELINI LTDA CNPJ: 59.052.003/0001-11</w:t>
      </w:r>
      <w:r>
        <w:rPr>
          <w:rFonts w:cs="Calibri" w:ascii="Times New Roman" w:hAnsi="Times New Roman" w:cstheme="minorHAnsi"/>
        </w:rPr>
        <w:t>), conforme currículo anexo.</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4.1.3. Não incidem critérios de sustentabilidade na presente contratação.</w:t>
      </w:r>
    </w:p>
    <w:p>
      <w:pPr>
        <w:pStyle w:val="BodyText"/>
        <w:spacing w:lineRule="auto" w:line="276" w:before="0" w:after="283"/>
        <w:rPr>
          <w:rFonts w:ascii="Times New Roman" w:hAnsi="Times New Roman" w:cs="Calibri" w:cstheme="minorHAnsi"/>
        </w:rPr>
      </w:pPr>
      <w:r>
        <w:rPr>
          <w:rFonts w:cs="Calibri" w:ascii="Times New Roman" w:hAnsi="Times New Roman" w:cstheme="minorHAnsi"/>
        </w:rPr>
        <w:t>4.1.4. Não é permitida a subcontratação do objeto contratual.</w:t>
      </w:r>
    </w:p>
    <w:p>
      <w:pPr>
        <w:pStyle w:val="BodyText"/>
        <w:spacing w:lineRule="auto" w:line="276"/>
        <w:jc w:val="both"/>
        <w:rPr>
          <w:rFonts w:ascii="Times New Roman" w:hAnsi="Times New Roman" w:cs="Calibri" w:cstheme="minorHAnsi"/>
          <w:sz w:val="24"/>
          <w:szCs w:val="24"/>
        </w:rPr>
      </w:pPr>
      <w:r>
        <w:rPr>
          <w:rFonts w:cs="Calibri" w:cstheme="minorHAnsi" w:ascii="Times New Roman" w:hAnsi="Times New Roman"/>
          <w:sz w:val="24"/>
          <w:szCs w:val="24"/>
        </w:rPr>
      </w:r>
    </w:p>
    <w:p>
      <w:pPr>
        <w:pStyle w:val="Normal"/>
        <w:spacing w:lineRule="auto" w:line="276"/>
        <w:jc w:val="both"/>
        <w:rPr/>
      </w:pPr>
      <w:r>
        <w:rPr>
          <w:rFonts w:cs="Calibri" w:cstheme="minorHAnsi"/>
          <w:sz w:val="24"/>
          <w:szCs w:val="24"/>
        </w:rPr>
        <w:t xml:space="preserve"> </w:t>
      </w:r>
      <w:r>
        <w:rPr>
          <w:rFonts w:cs="Calibri" w:cstheme="minorHAnsi"/>
          <w:b/>
          <w:bCs/>
          <w:sz w:val="24"/>
          <w:szCs w:val="24"/>
        </w:rPr>
        <w:t xml:space="preserve">5. MODELO DE EXECUÇÃO CONTRATUAL </w:t>
      </w:r>
    </w:p>
    <w:p>
      <w:pPr>
        <w:pStyle w:val="Normal"/>
        <w:spacing w:lineRule="auto" w:line="276" w:before="57" w:after="57"/>
        <w:jc w:val="both"/>
        <w:rPr/>
      </w:pPr>
      <w:r>
        <w:rPr>
          <w:rFonts w:cs="Calibri" w:cstheme="minorHAnsi"/>
          <w:sz w:val="24"/>
          <w:szCs w:val="24"/>
        </w:rPr>
        <w:t xml:space="preserve">5.1. </w:t>
      </w:r>
      <w:r>
        <w:rPr>
          <w:color w:val="auto"/>
          <w:u w:val="none"/>
        </w:rPr>
        <w:t>O curso “</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Desempenho de Gestão Integrada: Estratégias, Práticas Avançadas e Legislação</w:t>
      </w:r>
      <w:r>
        <w:rPr>
          <w:rStyle w:val="Hyperlink"/>
          <w:color w:val="auto"/>
          <w:sz w:val="24"/>
          <w:szCs w:val="24"/>
          <w:u w:val="none"/>
          <w:lang w:val="pt-BR" w:eastAsia="ar-SA" w:bidi="ar-SA"/>
        </w:rPr>
        <w:t>”</w:t>
      </w:r>
      <w:r>
        <w:rPr>
          <w:rStyle w:val="Hyperlink"/>
          <w:color w:val="auto"/>
          <w:u w:val="none"/>
          <w:lang w:val="pt-BR" w:eastAsia="ar-SA" w:bidi="ar-SA"/>
        </w:rPr>
        <w:t>,</w:t>
      </w:r>
      <w:r>
        <w:rPr>
          <w:color w:val="auto"/>
          <w:u w:val="none"/>
        </w:rPr>
        <w:t xml:space="preserve"> será realizado de forma presencial na cidade de Porto Alegre/RS, no período de </w:t>
      </w:r>
      <w:r>
        <w:rPr>
          <w:color w:val="000000"/>
          <w:u w:val="none"/>
          <w:shd w:fill="auto" w:val="clear"/>
        </w:rPr>
        <w:t>12 a 15 de agosto de 2025.</w:t>
      </w:r>
    </w:p>
    <w:p>
      <w:pPr>
        <w:pStyle w:val="Normal"/>
        <w:spacing w:lineRule="auto" w:line="276"/>
        <w:jc w:val="both"/>
        <w:rPr/>
      </w:pPr>
      <w:r>
        <w:rPr>
          <w:rFonts w:cs="Calibri" w:cstheme="minorHAnsi"/>
          <w:sz w:val="24"/>
          <w:szCs w:val="24"/>
        </w:rPr>
        <w:t xml:space="preserve">5.2. No caso de alteração das datas de prestação do serviço, a contratada deve realizar a comunicação ao contratante com antecedência mínima de 24 horas. </w:t>
      </w:r>
    </w:p>
    <w:p>
      <w:pPr>
        <w:pStyle w:val="Normal"/>
        <w:spacing w:lineRule="auto" w:line="276"/>
        <w:jc w:val="both"/>
        <w:rPr/>
      </w:pPr>
      <w:r>
        <w:rPr>
          <w:rFonts w:cs="Calibri" w:cstheme="minorHAnsi"/>
          <w:sz w:val="24"/>
          <w:szCs w:val="24"/>
        </w:rPr>
        <w:t xml:space="preserve">5.3. O serviço inclui o fornecimento de material didático (apostilas). </w:t>
      </w:r>
    </w:p>
    <w:p>
      <w:pPr>
        <w:pStyle w:val="Normal"/>
        <w:spacing w:lineRule="auto" w:line="276"/>
        <w:jc w:val="both"/>
        <w:rPr/>
      </w:pPr>
      <w:r>
        <w:rPr>
          <w:rFonts w:cs="Calibri" w:cstheme="minorHAnsi"/>
          <w:sz w:val="24"/>
          <w:szCs w:val="24"/>
        </w:rPr>
        <w:t xml:space="preserve">5.3.1. Emissão de certificado de participação;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6. MODELO DE GESTÃO DO CONTRATO </w:t>
      </w:r>
    </w:p>
    <w:p>
      <w:pPr>
        <w:pStyle w:val="Normal"/>
        <w:spacing w:lineRule="auto" w:line="276"/>
        <w:jc w:val="both"/>
        <w:rPr/>
      </w:pPr>
      <w:r>
        <w:rPr>
          <w:rFonts w:cs="Calibri" w:cstheme="minorHAnsi"/>
          <w:b/>
          <w:bCs/>
          <w:sz w:val="24"/>
          <w:szCs w:val="24"/>
        </w:rPr>
        <w:t xml:space="preserve">6.1. Rotinas de fiscalização contratual: </w:t>
      </w:r>
    </w:p>
    <w:p>
      <w:pPr>
        <w:pStyle w:val="Normal"/>
        <w:spacing w:lineRule="auto" w:line="276"/>
        <w:jc w:val="both"/>
        <w:rPr/>
      </w:pPr>
      <w:r>
        <w:rPr>
          <w:rFonts w:cs="Calibri" w:cstheme="minorHAnsi"/>
          <w:sz w:val="24"/>
          <w:szCs w:val="24"/>
        </w:rPr>
        <w:t xml:space="preserve">6.1.1. O contrato deverá ser executado fielmente pelas partes, de acordo com as cláusulas avençadas e as normas da Lei nº 14.133, de 2021, e cada parte responderá pelas consequências de sua inexecução total ou parcial (Lei nº 14.133/2021, art. 115, caput). </w:t>
      </w:r>
    </w:p>
    <w:p>
      <w:pPr>
        <w:pStyle w:val="Normal"/>
        <w:spacing w:lineRule="auto" w:line="276"/>
        <w:jc w:val="both"/>
        <w:rPr/>
      </w:pPr>
      <w:r>
        <w:rPr>
          <w:rFonts w:cs="Calibri" w:cstheme="minorHAnsi"/>
          <w:sz w:val="24"/>
          <w:szCs w:val="24"/>
        </w:rPr>
        <w:t xml:space="preserve">6.1.2. Em caso de impedimento, ordem de paralisação ou suspensão do contrato, o cronograma de execução será prorrogado automaticamente pelo tempo correspondente, anotadas tais circunstâncias mediante simples apostila (Lei nº 14.133/2021, art. 115, §5º). </w:t>
      </w:r>
    </w:p>
    <w:p>
      <w:pPr>
        <w:pStyle w:val="Normal"/>
        <w:spacing w:lineRule="auto" w:line="276"/>
        <w:jc w:val="both"/>
        <w:rPr/>
      </w:pPr>
      <w:r>
        <w:rPr>
          <w:rFonts w:cs="Calibri" w:cstheme="minorHAnsi"/>
          <w:sz w:val="24"/>
          <w:szCs w:val="24"/>
        </w:rPr>
        <w:t>6.1.3. Nos termos do art. 117 da Lei nº 14.133, de 2021, serão designados representantes da Câmara Municipal para acompanhar e fiscalizar a execução do objeto.</w:t>
      </w:r>
    </w:p>
    <w:p>
      <w:pPr>
        <w:pStyle w:val="Normal"/>
        <w:spacing w:lineRule="auto" w:line="276"/>
        <w:jc w:val="both"/>
        <w:rPr/>
      </w:pPr>
      <w:r>
        <w:rPr>
          <w:rFonts w:cs="Calibri" w:cstheme="minorHAnsi"/>
          <w:sz w:val="24"/>
          <w:szCs w:val="24"/>
        </w:rPr>
        <w:t xml:space="preserve">6.1.3.1. O fiscal do contrato anotará em registro próprio todas as ocorrências relacionadas à execução do contrato, determinando o que for necessário para a regularização das faltas ou dos defeitos observados (Lei nº 14.133/2021, art. 117, §1º). </w:t>
      </w:r>
    </w:p>
    <w:p>
      <w:pPr>
        <w:pStyle w:val="Normal"/>
        <w:spacing w:lineRule="auto" w:line="276"/>
        <w:jc w:val="both"/>
        <w:rPr/>
      </w:pPr>
      <w:r>
        <w:rPr>
          <w:rFonts w:cs="Calibri" w:cstheme="minorHAnsi"/>
          <w:sz w:val="24"/>
          <w:szCs w:val="24"/>
        </w:rPr>
        <w:t xml:space="preserve">6.1.3.2. O fiscal do contrato informará a seus superiores, em tempo hábil para a adoção das medidas convenientes, a situação que demandar decisão ou providência que ultrapasse sua competência (Lei nº 14.133/2021, art. 117, §2º). </w:t>
      </w:r>
    </w:p>
    <w:p>
      <w:pPr>
        <w:pStyle w:val="Normal"/>
        <w:spacing w:lineRule="auto" w:line="276"/>
        <w:jc w:val="both"/>
        <w:rPr/>
      </w:pPr>
      <w:r>
        <w:rPr>
          <w:rFonts w:cs="Calibri" w:cstheme="minorHAnsi"/>
          <w:sz w:val="24"/>
          <w:szCs w:val="24"/>
        </w:rPr>
        <w:t xml:space="preserve">6.1.4. O contratado será obrigado a reparar, corrigir, remover, reconstruir ou substuir, a suas expensas, no total ou em parte, o objeto do contrato em que se verificarem vícios, defeitos ou incorreções resultantes de sua execução ou de materiais nela empregados (Lei nº 14.133/2021, art. 119). </w:t>
      </w:r>
    </w:p>
    <w:p>
      <w:pPr>
        <w:pStyle w:val="Normal"/>
        <w:spacing w:lineRule="auto" w:line="276"/>
        <w:jc w:val="both"/>
        <w:rPr/>
      </w:pPr>
      <w:r>
        <w:rPr>
          <w:rFonts w:cs="Calibri" w:cstheme="minorHAnsi"/>
          <w:sz w:val="24"/>
          <w:szCs w:val="24"/>
        </w:rPr>
        <w:t xml:space="preserve">6.1.5. O contratado será responsável pelos danos causados diretamente à Câmara Municipal ou a terceiros em razão da execução do contrato, e não excluirá nem reduzirá essa responsabilidade a fiscalização ou o acompanhamento pelo contratante (Lei nº 14.133/2021, art. 120). </w:t>
      </w:r>
    </w:p>
    <w:p>
      <w:pPr>
        <w:pStyle w:val="Normal"/>
        <w:spacing w:lineRule="auto" w:line="276"/>
        <w:jc w:val="both"/>
        <w:rPr/>
      </w:pPr>
      <w:r>
        <w:rPr>
          <w:rFonts w:cs="Calibri" w:cstheme="minorHAnsi"/>
          <w:sz w:val="24"/>
          <w:szCs w:val="24"/>
        </w:rPr>
        <w:t xml:space="preserve">6.1.6. Somente o contratado será responsável pelos encargos trabalhistas, previdenciários, fiscais e comerciais resultantes da execução do contrato (Lei nº 14.133/2021, art. 121, caput). </w:t>
      </w:r>
    </w:p>
    <w:p>
      <w:pPr>
        <w:pStyle w:val="Normal"/>
        <w:spacing w:lineRule="auto" w:line="276"/>
        <w:jc w:val="both"/>
        <w:rPr/>
      </w:pPr>
      <w:r>
        <w:rPr>
          <w:rFonts w:cs="Calibri" w:cstheme="minorHAnsi"/>
          <w:sz w:val="24"/>
          <w:szCs w:val="24"/>
        </w:rPr>
        <w:t xml:space="preserve">6.1.6.1. A inadimplência do contratado em relação aos encargos trabalhistas, fiscais e comerciais não transferirá à Câmara Municipal a responsabilidade pelo seu pagamento e não poderá onerar o objeto do contrato (Lei nº 14.133/2021, art. 121, §1º). </w:t>
      </w:r>
    </w:p>
    <w:p>
      <w:pPr>
        <w:pStyle w:val="Normal"/>
        <w:spacing w:lineRule="auto" w:line="276"/>
        <w:jc w:val="both"/>
        <w:rPr/>
      </w:pPr>
      <w:r>
        <w:rPr>
          <w:rFonts w:cs="Calibri" w:cstheme="minorHAnsi"/>
          <w:sz w:val="24"/>
          <w:szCs w:val="24"/>
        </w:rPr>
        <w:t>6.1.7. As comunicações entre o órgão ou entidade e a contratada devem ser realizadas por escrito sempre que o ato exigir tal formalidade, admitindo-se, excepcionalmente, o uso de mensagem eletrônica para esse fim.</w:t>
      </w:r>
    </w:p>
    <w:p>
      <w:pPr>
        <w:pStyle w:val="Normal"/>
        <w:spacing w:lineRule="auto" w:line="276"/>
        <w:jc w:val="both"/>
        <w:rPr/>
      </w:pPr>
      <w:r>
        <w:rPr>
          <w:rFonts w:cs="Calibri" w:cstheme="minorHAnsi"/>
          <w:sz w:val="24"/>
          <w:szCs w:val="24"/>
        </w:rPr>
        <w:t>6.1.8. O órgão ou entidade poderá convocar representante da empresa para adoção de providências que devam ser cumpridas de imediato.</w:t>
      </w:r>
    </w:p>
    <w:p>
      <w:pPr>
        <w:pStyle w:val="Normal"/>
        <w:spacing w:lineRule="auto" w:line="276"/>
        <w:jc w:val="both"/>
        <w:rPr/>
      </w:pPr>
      <w:r>
        <w:rPr>
          <w:rFonts w:cs="Calibri" w:cstheme="minorHAnsi"/>
          <w:sz w:val="24"/>
          <w:szCs w:val="24"/>
        </w:rPr>
        <w:t>6.1.9. Antes do pagamento da nota fiscal ou da fatura, serão exigidos a Certidão Negativa de Débito (CND) relativa a Créditos Tributários Federais e à Dívida Ativa da União, o Certificado de Regularidade do FGTS (CRF) e a Certidão Negativa de Débitos Trabalhistas (CNDT)</w:t>
      </w:r>
    </w:p>
    <w:p>
      <w:pPr>
        <w:pStyle w:val="Normal"/>
        <w:spacing w:lineRule="auto" w:line="276"/>
        <w:jc w:val="both"/>
        <w:rPr/>
      </w:pPr>
      <w:r>
        <w:rPr>
          <w:rFonts w:cs="Calibri" w:cstheme="minorHAnsi"/>
          <w:b/>
          <w:bCs/>
          <w:sz w:val="24"/>
          <w:szCs w:val="24"/>
        </w:rPr>
        <w:t xml:space="preserve">6.2. Critérios de medição e faturamento: </w:t>
      </w:r>
    </w:p>
    <w:p>
      <w:pPr>
        <w:pStyle w:val="Normal"/>
        <w:spacing w:lineRule="auto" w:line="276"/>
        <w:jc w:val="both"/>
        <w:rPr/>
      </w:pPr>
      <w:r>
        <w:rPr>
          <w:rFonts w:cs="Calibri" w:cstheme="minorHAnsi"/>
          <w:sz w:val="24"/>
          <w:szCs w:val="24"/>
        </w:rPr>
        <w:t xml:space="preserve">6.2.1. Os serviços deverão ser executados e avaliados com base nos parâmetros mínimos a seguir estabelecidos: </w:t>
      </w:r>
    </w:p>
    <w:p>
      <w:pPr>
        <w:pStyle w:val="Normal"/>
        <w:spacing w:lineRule="auto" w:line="276"/>
        <w:jc w:val="both"/>
        <w:rPr/>
      </w:pPr>
      <w:r>
        <w:rPr>
          <w:rFonts w:cs="Calibri" w:cstheme="minorHAnsi"/>
          <w:sz w:val="24"/>
          <w:szCs w:val="24"/>
        </w:rPr>
        <w:t>6.2.1.1. Realização do curso na data e local programados.</w:t>
      </w:r>
    </w:p>
    <w:p>
      <w:pPr>
        <w:pStyle w:val="Normal"/>
        <w:spacing w:lineRule="auto" w:line="276"/>
        <w:jc w:val="both"/>
        <w:rPr/>
      </w:pPr>
      <w:r>
        <w:rPr>
          <w:rFonts w:cs="Calibri" w:cstheme="minorHAnsi"/>
          <w:sz w:val="24"/>
          <w:szCs w:val="24"/>
        </w:rPr>
        <w:t xml:space="preserve">6.2.1.2. Cumprimento da carga horária estabelecida. </w:t>
      </w:r>
    </w:p>
    <w:p>
      <w:pPr>
        <w:pStyle w:val="Normal"/>
        <w:spacing w:lineRule="auto" w:line="276"/>
        <w:jc w:val="both"/>
        <w:rPr/>
      </w:pPr>
      <w:r>
        <w:rPr>
          <w:rFonts w:cs="Calibri" w:cstheme="minorHAnsi"/>
          <w:sz w:val="24"/>
          <w:szCs w:val="24"/>
        </w:rPr>
        <w:t xml:space="preserve">6.2.1.3. Fornecimento de materiais e demais benefícios inclusos na contratação. </w:t>
      </w:r>
    </w:p>
    <w:p>
      <w:pPr>
        <w:pStyle w:val="Normal"/>
        <w:spacing w:lineRule="auto" w:line="276"/>
        <w:jc w:val="both"/>
        <w:rPr/>
      </w:pPr>
      <w:r>
        <w:rPr>
          <w:rFonts w:cs="Calibri" w:cstheme="minorHAnsi"/>
          <w:sz w:val="24"/>
          <w:szCs w:val="24"/>
        </w:rPr>
        <w:t xml:space="preserve">6.2.1.4. Emissão de certificado de participação. </w:t>
      </w:r>
    </w:p>
    <w:p>
      <w:pPr>
        <w:pStyle w:val="BodyText"/>
        <w:spacing w:lineRule="auto" w:line="276"/>
        <w:jc w:val="both"/>
        <w:rPr>
          <w:rFonts w:ascii="Times New Roman" w:hAnsi="Times New Roman" w:cs="Calibri" w:cstheme="minorHAnsi"/>
          <w:b/>
          <w:bCs/>
          <w:sz w:val="24"/>
          <w:szCs w:val="24"/>
        </w:rPr>
      </w:pPr>
      <w:r>
        <w:rPr>
          <w:rStyle w:val="Strong"/>
          <w:rFonts w:cs="Calibri" w:ascii="Times New Roman" w:hAnsi="Times New Roman" w:cstheme="minorHAnsi"/>
          <w:b w:val="false"/>
          <w:bCs w:val="false"/>
          <w:sz w:val="24"/>
          <w:szCs w:val="24"/>
        </w:rPr>
        <w:t>6.3. Do Recebimento:</w:t>
      </w:r>
    </w:p>
    <w:p>
      <w:pPr>
        <w:pStyle w:val="BodyText"/>
        <w:spacing w:lineRule="auto" w:line="276" w:before="0" w:after="0"/>
        <w:rPr>
          <w:rFonts w:ascii="Times New Roman" w:hAnsi="Times New Roman" w:cs="Calibri" w:cstheme="minorHAnsi"/>
          <w:b/>
          <w:bCs/>
        </w:rPr>
      </w:pPr>
      <w:r>
        <w:rPr>
          <w:rStyle w:val="Strong"/>
          <w:rFonts w:cs="Calibri" w:ascii="Times New Roman" w:hAnsi="Times New Roman" w:cstheme="minorHAnsi"/>
          <w:b w:val="false"/>
          <w:bCs w:val="false"/>
        </w:rPr>
        <w:t>6.3.1.</w:t>
      </w:r>
      <w:r>
        <w:rPr>
          <w:rFonts w:cs="Calibri" w:ascii="Times New Roman" w:hAnsi="Times New Roman" w:cstheme="minorHAnsi"/>
          <w:b w:val="false"/>
          <w:bCs w:val="false"/>
        </w:rPr>
        <w:t xml:space="preserve"> O serviço será considerado entregue com a apresentação do certificado de participação no curso.</w:t>
      </w:r>
    </w:p>
    <w:p>
      <w:pPr>
        <w:pStyle w:val="BodyText"/>
        <w:spacing w:lineRule="auto" w:line="276" w:before="0" w:after="0"/>
        <w:rPr>
          <w:rFonts w:ascii="Times New Roman" w:hAnsi="Times New Roman" w:cs="Calibri" w:cstheme="minorHAnsi"/>
          <w:b/>
          <w:bCs/>
        </w:rPr>
      </w:pPr>
      <w:r>
        <w:rPr>
          <w:rStyle w:val="Strong"/>
          <w:rFonts w:cs="Calibri" w:ascii="Times New Roman" w:hAnsi="Times New Roman" w:cstheme="minorHAnsi"/>
          <w:b w:val="false"/>
          <w:bCs w:val="false"/>
        </w:rPr>
        <w:t>6.4. Do Recebimento Definitivo:</w:t>
      </w:r>
    </w:p>
    <w:p>
      <w:pPr>
        <w:pStyle w:val="BodyText"/>
        <w:spacing w:lineRule="auto" w:line="276" w:before="0" w:after="0"/>
        <w:rPr>
          <w:rFonts w:ascii="Times New Roman" w:hAnsi="Times New Roman" w:cs="Calibri" w:cstheme="minorHAnsi"/>
          <w:b/>
          <w:bCs/>
        </w:rPr>
      </w:pPr>
      <w:r>
        <w:rPr>
          <w:rStyle w:val="Strong"/>
          <w:rFonts w:cs="Calibri" w:ascii="Times New Roman" w:hAnsi="Times New Roman" w:cstheme="minorHAnsi"/>
          <w:b w:val="false"/>
          <w:bCs w:val="false"/>
        </w:rPr>
        <w:t>6.4.1.</w:t>
      </w:r>
      <w:r>
        <w:rPr>
          <w:rFonts w:cs="Calibri" w:ascii="Times New Roman" w:hAnsi="Times New Roman" w:cstheme="minorHAnsi"/>
          <w:b w:val="false"/>
          <w:bCs w:val="false"/>
        </w:rPr>
        <w:t xml:space="preserve"> O recebimento será confirmado após a verificação do cumprimento do curso conforme contratado.</w:t>
      </w:r>
    </w:p>
    <w:p>
      <w:pPr>
        <w:pStyle w:val="BodyText"/>
        <w:spacing w:lineRule="auto" w:line="276" w:before="0" w:after="283"/>
        <w:rPr>
          <w:rFonts w:ascii="Times New Roman" w:hAnsi="Times New Roman" w:cs="Calibri" w:cstheme="minorHAnsi"/>
          <w:b/>
          <w:bCs/>
        </w:rPr>
      </w:pPr>
      <w:r>
        <w:rPr>
          <w:rStyle w:val="Strong"/>
          <w:rFonts w:cs="Calibri" w:ascii="Times New Roman" w:hAnsi="Times New Roman" w:cstheme="minorHAnsi"/>
          <w:b w:val="false"/>
          <w:bCs w:val="false"/>
        </w:rPr>
        <w:t>6.4.2.</w:t>
      </w:r>
      <w:r>
        <w:rPr>
          <w:rFonts w:cs="Calibri" w:ascii="Times New Roman" w:hAnsi="Times New Roman" w:cstheme="minorHAnsi"/>
          <w:b w:val="false"/>
          <w:bCs w:val="false"/>
        </w:rPr>
        <w:t xml:space="preserve"> Estando tudo regular, será liberada a emissão da nota fiscal para pagamento.</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71" w:after="171"/>
        <w:jc w:val="both"/>
        <w:rPr/>
      </w:pPr>
      <w:r>
        <w:rPr>
          <w:rFonts w:cs="Calibri" w:cstheme="minorHAnsi"/>
          <w:b/>
          <w:bCs/>
          <w:sz w:val="24"/>
          <w:szCs w:val="24"/>
        </w:rPr>
        <w:t>7. FORMA E CRITÉRIOS DE SELEÇÃO DO FORNECEDOR</w:t>
      </w:r>
    </w:p>
    <w:p>
      <w:pPr>
        <w:pStyle w:val="Normal"/>
        <w:spacing w:lineRule="auto" w:line="276"/>
        <w:jc w:val="both"/>
        <w:rPr/>
      </w:pPr>
      <w:r>
        <w:rPr>
          <w:rFonts w:cs="Calibri" w:cstheme="minorHAnsi"/>
          <w:sz w:val="24"/>
          <w:szCs w:val="24"/>
        </w:rPr>
        <w:t>7.1 O fornecedor será selecionado por meio da realização de procedimento de inexigibilidade de licitação com fundamento no art. 74, inciso III, alínea ‘f”, da Lei nº 14.133, de 2021.</w:t>
      </w:r>
    </w:p>
    <w:p>
      <w:pPr>
        <w:pStyle w:val="Normal"/>
        <w:spacing w:lineRule="auto" w:line="276"/>
        <w:jc w:val="both"/>
        <w:rPr/>
      </w:pPr>
      <w:r>
        <w:rPr>
          <w:rFonts w:cs="Calibri" w:cstheme="minorHAnsi"/>
          <w:sz w:val="24"/>
          <w:szCs w:val="24"/>
        </w:rPr>
        <w:t>7.2. Deverá haver a comprovação da experiência, mediante apresentação de currículo do profissional que ministrará o curso.</w:t>
      </w:r>
    </w:p>
    <w:p>
      <w:pPr>
        <w:pStyle w:val="Normal"/>
        <w:spacing w:lineRule="auto" w:line="276"/>
        <w:jc w:val="both"/>
        <w:rPr/>
      </w:pPr>
      <w:r>
        <w:rPr>
          <w:rFonts w:cs="Calibri" w:cstheme="minorHAnsi"/>
          <w:sz w:val="24"/>
          <w:szCs w:val="24"/>
        </w:rPr>
        <w:t xml:space="preserve">7.3. Previamente à celebração do contrato, a Câmara Municipal verificará o eventual descumprimento das condições para contratação, especialmente quanto à existência de sanção que a impeça, mediante a consulta a cadastros informativos oficiais, tais como: </w:t>
      </w:r>
    </w:p>
    <w:p>
      <w:pPr>
        <w:pStyle w:val="Normal"/>
        <w:spacing w:lineRule="auto" w:line="276"/>
        <w:jc w:val="both"/>
        <w:rPr/>
      </w:pPr>
      <w:r>
        <w:rPr>
          <w:rFonts w:cs="Calibri" w:cstheme="minorHAnsi"/>
          <w:sz w:val="24"/>
          <w:szCs w:val="24"/>
        </w:rPr>
        <w:t xml:space="preserve">a) Cadastro Nacional de Empresas Inidôneas e Suspensas - CEIS, mantido pela Controladoria-Geral da União (www.portaldatransparencia.gov.br/ceis); </w:t>
      </w:r>
    </w:p>
    <w:p>
      <w:pPr>
        <w:pStyle w:val="Normal"/>
        <w:spacing w:lineRule="auto" w:line="276"/>
        <w:jc w:val="both"/>
        <w:rPr/>
      </w:pPr>
      <w:r>
        <w:rPr>
          <w:rFonts w:cs="Calibri" w:cstheme="minorHAnsi"/>
          <w:sz w:val="24"/>
          <w:szCs w:val="24"/>
        </w:rPr>
        <w:t xml:space="preserve">b) Cadastro Nacional de Empresas Punidas – CNEP, mantido pela Controladoria-Geral da União (https://www.portaltransparencia.gov.br/sancoes/cnep). </w:t>
      </w:r>
    </w:p>
    <w:p>
      <w:pPr>
        <w:pStyle w:val="Normal"/>
        <w:spacing w:lineRule="auto" w:line="276"/>
        <w:jc w:val="both"/>
        <w:rPr/>
      </w:pPr>
      <w:r>
        <w:rPr>
          <w:rFonts w:cs="Calibri" w:cstheme="minorHAnsi"/>
          <w:sz w:val="24"/>
          <w:szCs w:val="24"/>
        </w:rPr>
        <w:t xml:space="preserve">7.3.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pPr>
        <w:pStyle w:val="Normal"/>
        <w:spacing w:lineRule="auto" w:line="276"/>
        <w:jc w:val="both"/>
        <w:rPr/>
      </w:pPr>
      <w:r>
        <w:rPr>
          <w:rFonts w:cs="Calibri" w:cstheme="minorHAnsi"/>
          <w:sz w:val="24"/>
          <w:szCs w:val="24"/>
        </w:rPr>
        <w:t xml:space="preserve">7.4. O fornecedor será convocado para manifestação previamente a uma eventual negativa de contratação. </w:t>
      </w:r>
    </w:p>
    <w:p>
      <w:pPr>
        <w:pStyle w:val="Normal"/>
        <w:spacing w:lineRule="auto" w:line="276"/>
        <w:jc w:val="both"/>
        <w:rPr/>
      </w:pPr>
      <w:r>
        <w:rPr>
          <w:rFonts w:cs="Calibri" w:cstheme="minorHAnsi"/>
          <w:sz w:val="24"/>
          <w:szCs w:val="24"/>
        </w:rPr>
        <w:t xml:space="preserve">7.5. Caso atendidas as condições para contratação, a habilitação do fornecedor será verificada por meio da apresentação dos </w:t>
      </w:r>
      <w:r>
        <w:rPr>
          <w:rStyle w:val="Fontepargpadro"/>
          <w:rFonts w:cs="Calibri" w:cstheme="minorHAnsi"/>
          <w:sz w:val="24"/>
          <w:szCs w:val="24"/>
          <w:lang w:eastAsia="en-US"/>
        </w:rPr>
        <w:t>documentos a título de habilitação nos termos do art. 62, da Lei Federal nº 14.133/2021.</w:t>
      </w:r>
    </w:p>
    <w:p>
      <w:pPr>
        <w:pStyle w:val="Normal"/>
        <w:spacing w:lineRule="auto" w:line="276"/>
        <w:jc w:val="both"/>
        <w:rPr/>
      </w:pPr>
      <w:r>
        <w:rPr>
          <w:rFonts w:cs="Calibri" w:cstheme="minorHAnsi"/>
          <w:sz w:val="24"/>
          <w:szCs w:val="24"/>
        </w:rPr>
        <w:t xml:space="preserve">7.6. Não serão aceitos documentos de habilitação com indicação de CNPJ/CPF diferentes, salvo aqueles legalmente permitidos. </w:t>
      </w:r>
    </w:p>
    <w:p>
      <w:pPr>
        <w:pStyle w:val="Normal"/>
        <w:spacing w:lineRule="auto" w:line="276"/>
        <w:jc w:val="both"/>
        <w:rPr/>
      </w:pPr>
      <w:r>
        <w:rPr>
          <w:rFonts w:cs="Calibri" w:cstheme="minorHAnsi"/>
          <w:sz w:val="24"/>
          <w:szCs w:val="24"/>
        </w:rPr>
        <w:t>7.7.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w:t>
      </w:r>
      <w:r>
        <w:rPr>
          <w:rFonts w:cs="Tahoma"/>
          <w:sz w:val="24"/>
          <w:szCs w:val="24"/>
        </w:rPr>
        <w:t>ti</w:t>
      </w:r>
      <w:r>
        <w:rPr>
          <w:rFonts w:cs="Calibri" w:cstheme="minorHAnsi"/>
          <w:sz w:val="24"/>
          <w:szCs w:val="24"/>
        </w:rPr>
        <w:t xml:space="preserve">dos somente em nome da matriz. </w:t>
      </w:r>
    </w:p>
    <w:p>
      <w:pPr>
        <w:pStyle w:val="Normal"/>
        <w:spacing w:lineRule="auto" w:line="276"/>
        <w:jc w:val="both"/>
        <w:rPr/>
      </w:pPr>
      <w:r>
        <w:rPr>
          <w:rFonts w:cs="Calibri" w:cstheme="minorHAnsi"/>
          <w:sz w:val="24"/>
          <w:szCs w:val="24"/>
        </w:rPr>
        <w:t xml:space="preserve">7.8. Serão aceitos registros de CNPJ de fornecedor matriz e filial com diferenças de números de documentos pertinentes ao CND e ao CRF/FGTS, quando for comprovada a centralização do recolhimento dessas contribuições.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8.</w:t>
        <w:tab/>
        <w:t>ESTIMATIVA DO VALOR DA CONTRATAÇÃO</w:t>
      </w:r>
    </w:p>
    <w:p>
      <w:pPr>
        <w:pStyle w:val="Normal"/>
        <w:spacing w:lineRule="auto" w:line="276"/>
        <w:jc w:val="both"/>
        <w:rPr/>
      </w:pPr>
      <w:r>
        <w:rPr>
          <w:rFonts w:cs="Calibri" w:cstheme="minorHAnsi"/>
          <w:sz w:val="24"/>
          <w:szCs w:val="24"/>
        </w:rPr>
        <w:t xml:space="preserve">8.1. O custo estimado total da contratação é de </w:t>
      </w:r>
      <w:r>
        <w:rPr>
          <w:rFonts w:cs="Calibri" w:cstheme="minorHAnsi"/>
          <w:b/>
          <w:bCs/>
          <w:sz w:val="24"/>
          <w:szCs w:val="24"/>
          <w:shd w:fill="auto" w:val="clear"/>
        </w:rPr>
        <w:t>R$5.560,00,00 (cinco mil, quinhentos e sessenta reais)</w:t>
      </w:r>
      <w:r>
        <w:rPr>
          <w:rFonts w:cs="Calibri" w:cstheme="minorHAnsi"/>
          <w:sz w:val="24"/>
          <w:szCs w:val="24"/>
        </w:rPr>
        <w:t>, conforme custos apostos na tabela abaixo:</w:t>
      </w:r>
    </w:p>
    <w:tbl>
      <w:tblPr>
        <w:tblW w:w="9350" w:type="dxa"/>
        <w:jc w:val="left"/>
        <w:tblInd w:w="112" w:type="dxa"/>
        <w:tblLayout w:type="fixed"/>
        <w:tblCellMar>
          <w:top w:w="55" w:type="dxa"/>
          <w:left w:w="55" w:type="dxa"/>
          <w:bottom w:w="55" w:type="dxa"/>
          <w:right w:w="55" w:type="dxa"/>
        </w:tblCellMar>
      </w:tblPr>
      <w:tblGrid>
        <w:gridCol w:w="788"/>
        <w:gridCol w:w="4764"/>
        <w:gridCol w:w="1017"/>
        <w:gridCol w:w="1310"/>
        <w:gridCol w:w="1471"/>
      </w:tblGrid>
      <w:tr>
        <w:trPr/>
        <w:tc>
          <w:tcPr>
            <w:tcW w:w="9350" w:type="dxa"/>
            <w:gridSpan w:val="5"/>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lineRule="auto" w:line="276" w:before="0" w:after="0"/>
              <w:ind w:hanging="0" w:left="0"/>
              <w:contextualSpacing/>
              <w:jc w:val="both"/>
              <w:rPr/>
            </w:pPr>
            <w:r>
              <w:rPr>
                <w:rFonts w:ascii="Times New Roman" w:hAnsi="Times New Roman"/>
                <w:b/>
                <w:bCs/>
                <w:i w:val="false"/>
                <w:iCs w:val="false"/>
                <w:color w:val="000000"/>
                <w:sz w:val="24"/>
                <w:szCs w:val="24"/>
              </w:rPr>
              <w:t>SERVIÇOS A SEREM CONTRATADOS</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0"/>
              <w:jc w:val="both"/>
              <w:rPr/>
            </w:pPr>
            <w:r>
              <w:rPr>
                <w:b/>
                <w:bCs/>
                <w:i w:val="false"/>
                <w:iCs w:val="false"/>
                <w:color w:val="auto"/>
                <w:sz w:val="20"/>
                <w:szCs w:val="20"/>
              </w:rPr>
              <w:t>ITEM</w:t>
            </w:r>
          </w:p>
        </w:tc>
        <w:tc>
          <w:tcPr>
            <w:tcW w:w="4764"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DESCRIÇÃO</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QUANT.</w:t>
            </w:r>
          </w:p>
        </w:tc>
        <w:tc>
          <w:tcPr>
            <w:tcW w:w="1310"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VALOR UNIT.</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VALOR TOTAL</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Item</w:t>
            </w:r>
          </w:p>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01</w:t>
            </w:r>
          </w:p>
        </w:tc>
        <w:tc>
          <w:tcPr>
            <w:tcW w:w="4764" w:type="dxa"/>
            <w:tcBorders>
              <w:left w:val="single" w:sz="4" w:space="0" w:color="000000"/>
              <w:bottom w:val="single" w:sz="4" w:space="0" w:color="000000"/>
            </w:tcBorders>
          </w:tcPr>
          <w:p>
            <w:pPr>
              <w:pStyle w:val="Normal"/>
              <w:spacing w:lineRule="auto" w:line="276" w:before="0" w:after="0"/>
              <w:jc w:val="both"/>
              <w:rPr/>
            </w:pPr>
            <w:r>
              <w:rPr>
                <w:rStyle w:val="Fontepargpadro"/>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en-US" w:bidi="ar-SA"/>
              </w:rPr>
              <w:t>“</w:t>
            </w:r>
            <w:r>
              <w:rPr>
                <w:rStyle w:val="Strong"/>
                <w:rFonts w:eastAsia="Calibri" w:cs="Times New Roman"/>
                <w:i w:val="false"/>
                <w:iCs w:val="false"/>
                <w:caps w:val="false"/>
                <w:smallCaps w:val="false"/>
                <w:strike w:val="false"/>
                <w:dstrike w:val="false"/>
                <w:outline w:val="false"/>
                <w:shadow w:val="false"/>
                <w:color w:val="000000"/>
                <w:spacing w:val="0"/>
                <w:w w:val="115"/>
                <w:kern w:val="0"/>
                <w:sz w:val="20"/>
                <w:szCs w:val="20"/>
                <w:u w:val="none"/>
                <w:shd w:fill="auto" w:val="clear"/>
                <w:em w:val="none"/>
                <w:lang w:val="pt-BR" w:eastAsia="ar-SA" w:bidi="ar-SA"/>
              </w:rPr>
              <w:t>Desempenho de Gestão Integrada: Estratégias, Práticas Avançadas e Legislação</w:t>
            </w:r>
            <w:r>
              <w:rPr>
                <w:rStyle w:val="Hyperlink"/>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ar-SA" w:bidi="ar-SA"/>
              </w:rPr>
              <w:t>”</w:t>
            </w:r>
          </w:p>
          <w:p>
            <w:pPr>
              <w:pStyle w:val="Normal"/>
              <w:widowControl w:val="false"/>
              <w:bidi w:val="0"/>
              <w:spacing w:lineRule="auto" w:line="276"/>
              <w:jc w:val="both"/>
              <w:rPr/>
            </w:pPr>
            <w:r>
              <w:rPr>
                <w:rStyle w:val="Fontepargpadro"/>
                <w:b w:val="false"/>
                <w:bCs w:val="false"/>
                <w:i w:val="false"/>
                <w:iCs w:val="false"/>
                <w:strike w:val="false"/>
                <w:dstrike w:val="false"/>
                <w:outline w:val="false"/>
                <w:shadow w:val="false"/>
                <w:color w:val="000000"/>
                <w:sz w:val="20"/>
                <w:szCs w:val="20"/>
                <w:u w:val="none"/>
                <w:em w:val="none"/>
              </w:rPr>
              <w:t>Data: dias 12 a 15 de agosto de 2025.</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0"/>
              <w:jc w:val="center"/>
              <w:rPr>
                <w:highlight w:val="none"/>
                <w:shd w:fill="auto" w:val="clear"/>
              </w:rPr>
            </w:pPr>
            <w:r>
              <w:rPr>
                <w:rFonts w:eastAsia="Calibri" w:cs=""/>
                <w:i w:val="false"/>
                <w:iCs w:val="false"/>
                <w:color w:val="000000"/>
                <w:kern w:val="0"/>
                <w:sz w:val="20"/>
                <w:szCs w:val="20"/>
                <w:shd w:fill="auto" w:val="clear"/>
                <w:lang w:val="pt-BR" w:eastAsia="en-US" w:bidi="ar-SA"/>
              </w:rPr>
              <w:t>04</w:t>
            </w:r>
          </w:p>
        </w:tc>
        <w:tc>
          <w:tcPr>
            <w:tcW w:w="1310" w:type="dxa"/>
            <w:tcBorders>
              <w:left w:val="single" w:sz="4" w:space="0" w:color="000000"/>
              <w:bottom w:val="single" w:sz="4" w:space="0" w:color="000000"/>
            </w:tcBorders>
          </w:tcPr>
          <w:p>
            <w:pPr>
              <w:pStyle w:val="Normal"/>
              <w:widowControl w:val="false"/>
              <w:spacing w:lineRule="auto" w:line="276" w:before="0" w:after="0"/>
              <w:jc w:val="both"/>
              <w:rPr/>
            </w:pPr>
            <w:r>
              <w:rPr>
                <w:sz w:val="20"/>
                <w:szCs w:val="20"/>
              </w:rPr>
              <w:t>R$1.390,00</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57" w:right="113"/>
              <w:jc w:val="both"/>
              <w:rPr>
                <w:highlight w:val="none"/>
                <w:shd w:fill="auto" w:val="clear"/>
              </w:rPr>
            </w:pPr>
            <w:r>
              <w:rPr>
                <w:color w:val="000000"/>
                <w:sz w:val="20"/>
                <w:szCs w:val="20"/>
                <w:shd w:fill="auto" w:val="clear"/>
              </w:rPr>
              <w:t>R$5.560,00</w:t>
            </w:r>
          </w:p>
        </w:tc>
      </w:tr>
      <w:tr>
        <w:trPr/>
        <w:tc>
          <w:tcPr>
            <w:tcW w:w="9350" w:type="dxa"/>
            <w:gridSpan w:val="5"/>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4"/>
                <w:szCs w:val="24"/>
              </w:rPr>
              <w:t xml:space="preserve">Valor Total </w:t>
            </w:r>
            <w:r>
              <w:rPr>
                <w:b/>
                <w:bCs/>
                <w:sz w:val="24"/>
                <w:szCs w:val="24"/>
                <w:shd w:fill="auto" w:val="clear"/>
              </w:rPr>
              <w:t>R$5.560,00 (cinco mil, quinhentos e sessenta reais)</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9. ADEQUAÇÃO ORÇAMENTÁRIA </w:t>
      </w:r>
    </w:p>
    <w:p>
      <w:pPr>
        <w:pStyle w:val="Normal"/>
        <w:spacing w:lineRule="auto" w:line="276"/>
        <w:jc w:val="both"/>
        <w:rPr/>
      </w:pPr>
      <w:r>
        <w:rPr>
          <w:rFonts w:cs="Calibri" w:cstheme="minorHAnsi"/>
          <w:sz w:val="24"/>
          <w:szCs w:val="24"/>
        </w:rPr>
        <w:t>9.1. As despesas decorrentes da presente contratação correrão à conta de recursos específicos consignados no Orçamento e a contratação será atendida pela seguinte dotação:</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2094 – Manutenção das atividades do Poder Legislativo</w:t>
      </w:r>
    </w:p>
    <w:p>
      <w:pPr>
        <w:pStyle w:val="Normal"/>
        <w:spacing w:lineRule="auto" w:line="276"/>
        <w:jc w:val="both"/>
        <w:rPr/>
      </w:pPr>
      <w:r>
        <w:rPr>
          <w:lang w:val="pt-BR"/>
        </w:rPr>
        <w:t>Despesa: 3.3.90.39.00.00.00 – Outros Serviços de Terceiros Pessoa Jurídica</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Três Passos-RS, 5 de agosto de 2025.</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Emanuelle Cavalcante Carvalho Petrazzini</w:t>
      </w:r>
    </w:p>
    <w:p>
      <w:pPr>
        <w:pStyle w:val="Normal"/>
        <w:spacing w:lineRule="auto" w:line="276"/>
        <w:jc w:val="both"/>
        <w:rPr/>
      </w:pPr>
      <w:r>
        <w:rPr>
          <w:rFonts w:cs="Calibri" w:cstheme="minorHAnsi"/>
          <w:sz w:val="24"/>
          <w:szCs w:val="24"/>
        </w:rPr>
        <w:t>Diretora Geral</w:t>
      </w:r>
    </w:p>
    <w:p>
      <w:pPr>
        <w:pStyle w:val="Heading1"/>
        <w:spacing w:lineRule="auto" w:line="276"/>
        <w:rPr>
          <w:rFonts w:ascii="Times New Roman" w:hAnsi="Times New Roman" w:cs="Calibri" w:cstheme="minorHAnsi"/>
          <w:b/>
          <w:bCs/>
          <w:sz w:val="24"/>
          <w:szCs w:val="24"/>
        </w:rPr>
      </w:pPr>
      <w:r>
        <w:rPr>
          <w:rFonts w:cs="Calibri" w:cstheme="minorHAnsi"/>
          <w:b/>
          <w:bCs/>
          <w:sz w:val="24"/>
          <w:szCs w:val="24"/>
        </w:rPr>
      </w:r>
    </w:p>
    <w:p>
      <w:pPr>
        <w:pStyle w:val="Heading1"/>
        <w:keepNext w:val="true"/>
        <w:widowControl/>
        <w:suppressAutoHyphens w:val="true"/>
        <w:overflowPunct w:val="false"/>
        <w:bidi w:val="0"/>
        <w:spacing w:lineRule="auto" w:line="276" w:before="0" w:after="0"/>
        <w:ind w:hanging="0" w:left="0" w:right="0"/>
        <w:jc w:val="left"/>
        <w:rPr/>
      </w:pPr>
      <w:r>
        <w:rPr>
          <w:rFonts w:cs="Calibri" w:cstheme="minorHAnsi"/>
          <w:b/>
          <w:bCs/>
          <w:sz w:val="24"/>
          <w:szCs w:val="24"/>
        </w:rPr>
        <w:t>ANEXOS</w:t>
      </w:r>
    </w:p>
    <w:p>
      <w:pPr>
        <w:pStyle w:val="Normal"/>
        <w:spacing w:lineRule="auto" w:line="276"/>
        <w:rPr/>
      </w:pPr>
      <w:r>
        <w:rPr>
          <w:rStyle w:val="Ttulo1Char"/>
          <w:rFonts w:cs="Calibri" w:cstheme="minorHAnsi"/>
          <w:b/>
          <w:bCs/>
          <w:sz w:val="24"/>
          <w:szCs w:val="24"/>
        </w:rPr>
        <w:t>Programação do curso</w:t>
      </w:r>
    </w:p>
    <w:p>
      <w:pPr>
        <w:pStyle w:val="Normal"/>
        <w:spacing w:lineRule="auto" w:line="276"/>
        <w:rPr/>
      </w:pPr>
      <w:r>
        <w:rPr>
          <w:rStyle w:val="Ttulo1Char"/>
          <w:rFonts w:cs="Calibri" w:cstheme="minorHAnsi"/>
          <w:b/>
          <w:bCs/>
          <w:sz w:val="24"/>
          <w:szCs w:val="24"/>
        </w:rPr>
        <w:t>Currículo do Professor</w:t>
      </w:r>
    </w:p>
    <w:p>
      <w:pPr>
        <w:pStyle w:val="Normal"/>
        <w:spacing w:lineRule="auto" w:line="276"/>
        <w:rPr/>
      </w:pPr>
      <w:r>
        <w:rPr>
          <w:rStyle w:val="Ttulo1Char"/>
          <w:rFonts w:cs="Calibri" w:cstheme="minorHAnsi"/>
          <w:b/>
          <w:bCs/>
          <w:sz w:val="24"/>
          <w:szCs w:val="24"/>
        </w:rPr>
        <w:t>Documentos de habilitação da empresa a ser contratada</w:t>
      </w:r>
    </w:p>
    <w:p>
      <w:pPr>
        <w:pStyle w:val="Normal"/>
        <w:spacing w:lineRule="auto" w:line="276"/>
        <w:rPr/>
      </w:pPr>
      <w:r>
        <w:rPr>
          <w:rStyle w:val="Ttulo1Char"/>
          <w:rFonts w:cs="Calibri" w:cstheme="minorHAnsi"/>
          <w:b/>
          <w:bCs/>
          <w:sz w:val="24"/>
          <w:szCs w:val="24"/>
        </w:rPr>
        <w:t>Declarações exigidas pela Lei e pela regulamentação do órgão</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Normal"/>
        <w:spacing w:lineRule="auto" w:line="276"/>
        <w:rPr>
          <w:rFonts w:cs="Calibri" w:cstheme="minorHAnsi"/>
          <w:b/>
          <w:bCs/>
          <w:sz w:val="24"/>
          <w:szCs w:val="24"/>
        </w:rPr>
      </w:pPr>
      <w:r>
        <w:rPr>
          <w:rFonts w:cs="Calibri" w:cstheme="minorHAnsi"/>
          <w:b/>
          <w:bCs/>
          <w:sz w:val="24"/>
          <w:szCs w:val="24"/>
        </w:rPr>
      </w:r>
    </w:p>
    <w:p>
      <w:pPr>
        <w:pStyle w:val="BodyText"/>
        <w:tabs>
          <w:tab w:val="clear" w:pos="709"/>
          <w:tab w:val="left" w:pos="5103" w:leader="none"/>
        </w:tabs>
        <w:spacing w:lineRule="auto" w:line="276" w:before="0" w:after="0"/>
        <w:ind w:hanging="0" w:right="-1"/>
        <w:jc w:val="both"/>
        <w:rPr>
          <w:rFonts w:ascii="Times New Roman" w:hAnsi="Times New Roman" w:cs="Calibri" w:cstheme="minorHAnsi"/>
          <w:sz w:val="24"/>
          <w:szCs w:val="24"/>
        </w:rPr>
      </w:pPr>
      <w:r>
        <w:rPr>
          <w:rFonts w:cs="Calibri" w:cstheme="minorHAnsi" w:ascii="Times New Roman" w:hAnsi="Times New Roman"/>
          <w:sz w:val="24"/>
          <w:szCs w:val="24"/>
        </w:rPr>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w:t>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 xml:space="preserve">Flavio Habitzreiter </w:t>
      </w:r>
    </w:p>
    <w:p>
      <w:pPr>
        <w:pStyle w:val="Normal"/>
        <w:spacing w:lineRule="auto" w:line="276"/>
        <w:jc w:val="center"/>
        <w:rPr/>
      </w:pPr>
      <w:r>
        <w:rPr>
          <w:rFonts w:cs="Calibri" w:cstheme="minorHAnsi"/>
          <w:b/>
          <w:bCs/>
          <w:sz w:val="24"/>
          <w:szCs w:val="24"/>
        </w:rPr>
        <w:t xml:space="preserve"> </w:t>
      </w:r>
      <w:r>
        <w:rPr>
          <w:rFonts w:cs="Calibri" w:cstheme="minorHAnsi"/>
          <w:b/>
          <w:bCs/>
          <w:sz w:val="24"/>
          <w:szCs w:val="24"/>
        </w:rPr>
        <w:t>Presidente</w:t>
      </w:r>
    </w:p>
    <w:p>
      <w:pPr>
        <w:pStyle w:val="Normal"/>
        <w:spacing w:lineRule="auto" w:line="276"/>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pPr>
      <w:bookmarkStart w:id="6" w:name="_Toc145248078"/>
      <w:r>
        <w:rPr>
          <w:rFonts w:eastAsia="Times New Roman" w:cs="Calibri" w:cstheme="minorHAnsi"/>
          <w:b/>
          <w:bCs/>
          <w:sz w:val="24"/>
          <w:szCs w:val="24"/>
        </w:rPr>
        <w:t>ATO DE ENCAMINHAMENTO À AUTORIDADE SUPERIOR</w:t>
      </w:r>
      <w:bookmarkEnd w:id="6"/>
    </w:p>
    <w:p>
      <w:pPr>
        <w:pStyle w:val="Normal"/>
        <w:spacing w:lineRule="auto" w:line="276" w:before="120" w:after="120"/>
        <w:jc w:val="both"/>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pPr>
      <w:r>
        <w:rPr>
          <w:rFonts w:cs="Calibri" w:cstheme="minorHAnsi"/>
          <w:sz w:val="24"/>
          <w:szCs w:val="24"/>
          <w:shd w:fill="auto" w:val="clear"/>
        </w:rPr>
        <w:t>Três Passos, 5 de agosto de 2025.</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both"/>
        <w:rPr/>
      </w:pPr>
      <w:r>
        <w:rPr>
          <w:rFonts w:cs="Calibri" w:cstheme="minorHAnsi"/>
          <w:sz w:val="24"/>
          <w:szCs w:val="24"/>
        </w:rPr>
        <w:t xml:space="preserve">Exmo. </w:t>
      </w:r>
    </w:p>
    <w:p>
      <w:pPr>
        <w:pStyle w:val="BodyText2"/>
        <w:spacing w:lineRule="auto" w:line="276" w:before="63" w:after="63"/>
        <w:jc w:val="both"/>
        <w:rPr/>
      </w:pPr>
      <w:r>
        <w:rPr>
          <w:rFonts w:cs="Calibri" w:cstheme="minorHAnsi"/>
          <w:sz w:val="24"/>
          <w:szCs w:val="24"/>
          <w:shd w:fill="auto" w:val="clear"/>
        </w:rPr>
        <w:t>Sr. Flavio Habitzreiter</w:t>
      </w:r>
    </w:p>
    <w:p>
      <w:pPr>
        <w:pStyle w:val="Normal"/>
        <w:spacing w:lineRule="auto" w:line="276" w:before="63" w:after="63"/>
        <w:jc w:val="both"/>
        <w:rPr/>
      </w:pPr>
      <w:r>
        <w:rPr>
          <w:rFonts w:cs="Calibri" w:cstheme="minorHAnsi"/>
          <w:sz w:val="24"/>
          <w:szCs w:val="24"/>
        </w:rPr>
        <w:t xml:space="preserve">Presidente </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Prezado Senhor,</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e determinação ao setor competente que adote as providências cabíveis para contratação de empresa para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Desempenho de Gestão Integrada: Estratégias, Práticas Avançadas e Legislação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p>
    <w:p>
      <w:pPr>
        <w:pStyle w:val="Normal"/>
        <w:spacing w:lineRule="auto" w:line="276" w:before="120" w:after="120"/>
        <w:jc w:val="both"/>
        <w:rPr>
          <w:b w:val="false"/>
          <w:bCs w:val="false"/>
          <w:i w:val="false"/>
          <w:i w:val="false"/>
          <w:iCs w:val="false"/>
          <w:strike w:val="false"/>
          <w:dstrike w:val="false"/>
          <w:outline w:val="false"/>
          <w:shadow w:val="false"/>
          <w:color w:val="000000"/>
          <w:u w:val="none"/>
          <w:em w:val="none"/>
        </w:rPr>
      </w:pPr>
      <w:r>
        <w:rPr>
          <w:b w:val="false"/>
          <w:bCs w:val="false"/>
          <w:i w:val="false"/>
          <w:iCs w:val="false"/>
          <w:strike w:val="false"/>
          <w:dstrike w:val="false"/>
          <w:outline w:val="false"/>
          <w:shadow w:val="false"/>
          <w:color w:val="000000"/>
          <w:u w:val="none"/>
          <w:em w:val="none"/>
        </w:rPr>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12 a 15 de agosto de 2025.</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w:t>
      </w:r>
    </w:p>
    <w:p>
      <w:pPr>
        <w:pStyle w:val="BodyText2"/>
        <w:spacing w:lineRule="auto" w:line="276" w:before="120" w:after="120"/>
        <w:jc w:val="both"/>
        <w:rPr/>
      </w:pPr>
      <w:r>
        <w:rPr>
          <w:rFonts w:cs="Calibri" w:cstheme="minorHAnsi"/>
          <w:sz w:val="24"/>
          <w:szCs w:val="24"/>
        </w:rPr>
        <w:t>Em anexo seguem os seguintes documentos:</w:t>
      </w:r>
    </w:p>
    <w:p>
      <w:pPr>
        <w:pStyle w:val="BodyText2"/>
        <w:spacing w:lineRule="auto" w:line="276" w:before="120" w:after="120"/>
        <w:jc w:val="both"/>
        <w:rPr/>
      </w:pPr>
      <w:r>
        <w:rPr>
          <w:rFonts w:cs="Calibri" w:cstheme="minorHAnsi"/>
          <w:sz w:val="24"/>
          <w:szCs w:val="24"/>
        </w:rPr>
        <w:t>I – DFD;</w:t>
      </w:r>
    </w:p>
    <w:p>
      <w:pPr>
        <w:pStyle w:val="BodyText2"/>
        <w:spacing w:lineRule="auto" w:line="276" w:before="120" w:after="120"/>
        <w:jc w:val="both"/>
        <w:rPr/>
      </w:pPr>
      <w:r>
        <w:rPr>
          <w:rFonts w:cs="Calibri" w:cstheme="minorHAnsi"/>
          <w:sz w:val="24"/>
          <w:szCs w:val="24"/>
        </w:rPr>
        <w:t>II- ETP;</w:t>
      </w:r>
    </w:p>
    <w:p>
      <w:pPr>
        <w:pStyle w:val="BodyText2"/>
        <w:spacing w:lineRule="auto" w:line="276" w:before="120" w:after="120"/>
        <w:jc w:val="both"/>
        <w:rPr/>
      </w:pPr>
      <w:r>
        <w:rPr>
          <w:rFonts w:cs="Calibri" w:cstheme="minorHAnsi"/>
          <w:sz w:val="24"/>
          <w:szCs w:val="24"/>
        </w:rPr>
        <w:t>III- TR;</w:t>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t>Emanuelle Cavalcante Carvalho Petrazzini</w:t>
      </w:r>
    </w:p>
    <w:p>
      <w:pPr>
        <w:pStyle w:val="BodyText2"/>
        <w:spacing w:lineRule="auto" w:line="276" w:before="0" w:after="0"/>
        <w:jc w:val="center"/>
        <w:rPr/>
      </w:pPr>
      <w:r>
        <w:rPr>
          <w:rFonts w:cs="Calibri" w:cstheme="minorHAnsi"/>
          <w:bCs/>
          <w:sz w:val="24"/>
          <w:szCs w:val="24"/>
        </w:rPr>
        <w:t>Diretora Geral</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keepNext w:val="true"/>
        <w:widowControl/>
        <w:suppressAutoHyphens w:val="true"/>
        <w:overflowPunct w:val="false"/>
        <w:bidi w:val="0"/>
        <w:spacing w:lineRule="auto" w:line="276" w:before="0" w:after="120"/>
        <w:ind w:hanging="0" w:left="0" w:right="0"/>
        <w:jc w:val="left"/>
        <w:rPr/>
      </w:pPr>
      <w:bookmarkStart w:id="7" w:name="_Toc145248079"/>
      <w:r>
        <w:rPr>
          <w:rFonts w:cs="Calibri" w:cstheme="minorHAnsi"/>
          <w:b/>
          <w:bCs/>
          <w:sz w:val="24"/>
          <w:szCs w:val="24"/>
        </w:rPr>
        <w:t>AUTORIZAÇÃO DA AUTORIDADE COMPETENTE PARA INÍCIO DO PROCESSO DE CONTRATAÇÃO</w:t>
      </w:r>
      <w:bookmarkEnd w:id="7"/>
    </w:p>
    <w:p>
      <w:pPr>
        <w:pStyle w:val="BodyText2"/>
        <w:spacing w:lineRule="auto" w:line="276" w:before="120" w:after="120"/>
        <w:jc w:val="right"/>
        <w:rPr/>
      </w:pPr>
      <w:r>
        <w:rPr>
          <w:rFonts w:cs="Calibri" w:cstheme="minorHAnsi"/>
          <w:sz w:val="24"/>
          <w:szCs w:val="24"/>
        </w:rPr>
        <w:t>Três Passos, 5 de agosto de 2025.</w:t>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Autorizo e encaminho para adoção das providências necessárias à contratação de empresa para  participação no curso </w:t>
      </w:r>
      <w:r>
        <w:rPr>
          <w:rStyle w:val="Fontepargpadro"/>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en-US" w:bidi="ar-SA"/>
        </w:rPr>
        <w:t>“</w:t>
      </w:r>
      <w:r>
        <w:rPr>
          <w:rStyle w:val="Strong"/>
          <w:rFonts w:eastAsia="Calibri" w:cs="Times New Roman"/>
          <w:i w:val="false"/>
          <w:iCs w:val="false"/>
          <w:caps w:val="false"/>
          <w:smallCaps w:val="false"/>
          <w:strike w:val="false"/>
          <w:dstrike w:val="false"/>
          <w:outline w:val="false"/>
          <w:shadow w:val="false"/>
          <w:color w:val="000000"/>
          <w:spacing w:val="0"/>
          <w:w w:val="115"/>
          <w:kern w:val="0"/>
          <w:sz w:val="24"/>
          <w:szCs w:val="24"/>
          <w:u w:val="none"/>
          <w:effect w:val="none"/>
          <w:shd w:fill="auto" w:val="clear"/>
          <w:em w:val="none"/>
          <w:lang w:val="pt-BR" w:eastAsia="ar-SA" w:bidi="ar-SA"/>
        </w:rPr>
        <w:t>Desempenho de Gestão Integrada: Estratégias, Práticas Avançadas e Legislação</w:t>
      </w:r>
      <w:r>
        <w:rPr>
          <w:rStyle w:val="Hyperlink"/>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ar-SA" w:bidi="ar-SA"/>
        </w:rPr>
        <w:t>”.</w:t>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12 a 15 de agosto de 2025.</w:t>
      </w:r>
    </w:p>
    <w:p>
      <w:pPr>
        <w:pStyle w:val="Normal"/>
        <w:spacing w:lineRule="auto" w:line="276" w:before="120" w:after="120"/>
        <w:jc w:val="both"/>
        <w:rPr/>
      </w:pPr>
      <w:r>
        <w:rPr>
          <w:rFonts w:cs="Calibri" w:cstheme="minorHAnsi"/>
          <w:sz w:val="24"/>
          <w:szCs w:val="24"/>
        </w:rPr>
        <w:t>Esta autorização é condicionada ao cumprimento de todas as exigências e formalidades previstas na Lei 14.133/21.</w:t>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ascii="Times New Roman" w:hAnsi="Times New Roman" w:cs="Calibri" w:cstheme="minorHAnsi"/>
          <w:sz w:val="24"/>
          <w:szCs w:val="24"/>
          <w:highlight w:val="yellow"/>
        </w:rPr>
      </w:pPr>
      <w:r>
        <w:rPr>
          <w:rFonts w:cs="Calibri" w:cstheme="minorHAnsi"/>
          <w:sz w:val="24"/>
          <w:szCs w:val="24"/>
          <w:highlight w:val="yellow"/>
        </w:rPr>
      </w:r>
    </w:p>
    <w:p>
      <w:pPr>
        <w:pStyle w:val="BodyText2"/>
        <w:spacing w:lineRule="auto" w:line="276" w:before="120" w:after="120"/>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center"/>
        <w:rPr/>
      </w:pPr>
      <w:r>
        <w:rPr>
          <w:rFonts w:cs="Calibri" w:cstheme="minorHAnsi"/>
          <w:sz w:val="24"/>
          <w:szCs w:val="24"/>
          <w:shd w:fill="auto" w:val="clear"/>
        </w:rPr>
        <w:t>FLAVIO HABITZREITER</w:t>
      </w:r>
    </w:p>
    <w:p>
      <w:pPr>
        <w:pStyle w:val="BodyText2"/>
        <w:spacing w:lineRule="auto" w:line="276" w:before="120" w:after="120"/>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r>
        <w:br w:type="page"/>
      </w:r>
    </w:p>
    <w:p>
      <w:pPr>
        <w:pStyle w:val="Heading1"/>
        <w:spacing w:lineRule="auto" w:line="276" w:before="0" w:after="120"/>
        <w:rPr/>
      </w:pPr>
      <w:bookmarkStart w:id="8" w:name="_Toc145248080"/>
      <w:r>
        <w:rPr>
          <w:rFonts w:cs="Calibri" w:cstheme="minorHAnsi"/>
          <w:b/>
          <w:bCs/>
          <w:sz w:val="24"/>
          <w:szCs w:val="24"/>
        </w:rPr>
        <w:t>SOLICITAÇÃO DE PARECER ORÇAMENTÁRIO E FINANCEIRO</w:t>
      </w:r>
      <w:bookmarkEnd w:id="8"/>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right"/>
        <w:rPr/>
      </w:pPr>
      <w:r>
        <w:rPr>
          <w:rFonts w:cs="Calibri" w:cstheme="minorHAnsi"/>
          <w:sz w:val="24"/>
          <w:szCs w:val="24"/>
          <w:shd w:fill="auto" w:val="clear"/>
        </w:rPr>
        <w:t>Três Passos, 5 de agosto de 2025</w:t>
      </w:r>
    </w:p>
    <w:p>
      <w:pPr>
        <w:pStyle w:val="Normal"/>
        <w:spacing w:lineRule="auto" w:line="276" w:before="120" w:after="120"/>
        <w:rPr/>
      </w:pPr>
      <w:r>
        <w:rPr>
          <w:rFonts w:cs="Calibri" w:cstheme="minorHAnsi"/>
          <w:sz w:val="24"/>
          <w:szCs w:val="24"/>
        </w:rPr>
        <w:t>Ao</w:t>
      </w:r>
    </w:p>
    <w:p>
      <w:pPr>
        <w:pStyle w:val="Normal"/>
        <w:spacing w:lineRule="auto" w:line="276" w:before="120" w:after="120"/>
        <w:rPr/>
      </w:pPr>
      <w:r>
        <w:rPr>
          <w:rFonts w:cs="Calibri" w:cstheme="minorHAnsi"/>
          <w:sz w:val="24"/>
          <w:szCs w:val="24"/>
        </w:rPr>
        <w:t>Setor Contábil e Financeiro</w:t>
      </w:r>
    </w:p>
    <w:p>
      <w:pPr>
        <w:pStyle w:val="Normal"/>
        <w:spacing w:lineRule="auto" w:line="276" w:before="120" w:after="120"/>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rPr/>
      </w:pPr>
      <w:r>
        <w:rPr>
          <w:rFonts w:cs="Calibri" w:cstheme="minorHAnsi"/>
          <w:b/>
          <w:sz w:val="24"/>
          <w:szCs w:val="24"/>
        </w:rPr>
        <w:t>Assunto: SOLICITAÇÃO DE PARECER ORÇAMENTÁRIO e FINANCEIRO</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Prezados Senhores,</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informações quanto a disponibilidade orçamentária e financeira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w:t>
      </w:r>
      <w:r>
        <w:rPr>
          <w:rStyle w:val="Fontepargpadro"/>
          <w:rFonts w:eastAsia="Calibri" w:cs="Calibri"/>
          <w:b/>
          <w:bCs/>
          <w:i w:val="false"/>
          <w:iCs w:val="false"/>
          <w:color w:val="000000"/>
          <w:w w:val="115"/>
          <w:kern w:val="0"/>
          <w:sz w:val="24"/>
          <w:szCs w:val="24"/>
          <w:u w:val="none"/>
          <w:shd w:fill="auto" w:val="clear"/>
          <w:lang w:val="pt-BR" w:eastAsia="ar-SA" w:bidi="ar-SA"/>
        </w:rPr>
        <w:t>VEREADORES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Desempenho de Gestão Integrada: Estratégias, Práticas Avançadas e Legislação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r>
        <w:rPr>
          <w:rFonts w:cs="Calibri" w:cstheme="minorHAnsi"/>
          <w:bCs/>
          <w:color w:themeColor="text1" w:val="000000"/>
          <w:sz w:val="24"/>
          <w:szCs w:val="24"/>
        </w:rPr>
        <w:t xml:space="preserve"> </w:t>
      </w:r>
      <w:r>
        <w:rPr>
          <w:rFonts w:cs="Calibri" w:cstheme="minorHAnsi"/>
          <w:sz w:val="24"/>
          <w:szCs w:val="24"/>
        </w:rPr>
        <w:t>no Valor Global de</w:t>
      </w:r>
      <w:r>
        <w:rPr>
          <w:rFonts w:cs="Calibri" w:cstheme="minorHAnsi"/>
          <w:sz w:val="24"/>
          <w:szCs w:val="24"/>
          <w:shd w:fill="auto" w:val="clear"/>
        </w:rPr>
        <w:t xml:space="preserve"> </w:t>
      </w:r>
      <w:r>
        <w:rPr>
          <w:rFonts w:cs="Calibri" w:cstheme="minorHAnsi"/>
          <w:b/>
          <w:bCs/>
          <w:sz w:val="24"/>
          <w:szCs w:val="24"/>
          <w:shd w:fill="auto" w:val="clear"/>
        </w:rPr>
        <w:t>R$5.560,00 (cinco mil, quinhentos e sessenta reais).</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pPr>
      <w:r>
        <w:rPr>
          <w:rFonts w:cs="Calibri" w:cstheme="minorHAnsi"/>
          <w:sz w:val="24"/>
          <w:szCs w:val="24"/>
        </w:rPr>
        <w:t>.........................................................</w:t>
      </w:r>
    </w:p>
    <w:p>
      <w:pPr>
        <w:pStyle w:val="BodyText2"/>
        <w:spacing w:lineRule="auto" w:line="276" w:before="120" w:after="120"/>
        <w:jc w:val="center"/>
        <w:rPr/>
      </w:pPr>
      <w:r>
        <w:rPr>
          <w:rFonts w:cs="Calibri" w:cstheme="minorHAnsi"/>
          <w:sz w:val="24"/>
          <w:szCs w:val="24"/>
        </w:rPr>
        <w:t>Emanuelle Cavalcante Carvalho Petrazzini</w:t>
      </w:r>
    </w:p>
    <w:p>
      <w:pPr>
        <w:pStyle w:val="BodyText2"/>
        <w:spacing w:lineRule="auto" w:line="276" w:before="120" w:after="120"/>
        <w:jc w:val="center"/>
        <w:rPr/>
      </w:pPr>
      <w:r>
        <w:rPr>
          <w:rFonts w:cs="Calibri" w:cstheme="minorHAnsi"/>
          <w:sz w:val="24"/>
          <w:szCs w:val="24"/>
        </w:rPr>
        <w:t>Diretora Geral</w:t>
      </w:r>
    </w:p>
    <w:p>
      <w:pPr>
        <w:pStyle w:val="Normal"/>
        <w:spacing w:lineRule="auto" w:line="276" w:before="120" w:after="120"/>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120"/>
        <w:jc w:val="center"/>
        <w:rPr/>
      </w:pPr>
      <w:bookmarkStart w:id="9" w:name="_Toc145248081"/>
      <w:r>
        <w:rPr>
          <w:rFonts w:cs="Calibri" w:cstheme="minorHAnsi"/>
          <w:b/>
          <w:bCs/>
          <w:sz w:val="24"/>
          <w:szCs w:val="24"/>
        </w:rPr>
        <w:t>COMPROVAÇÃO DE SALDO ORÇAMENTÁRIO</w:t>
      </w:r>
      <w:bookmarkEnd w:id="9"/>
    </w:p>
    <w:p>
      <w:pPr>
        <w:pStyle w:val="Normal"/>
        <w:spacing w:lineRule="auto" w:line="276" w:before="120" w:after="120"/>
        <w:jc w:val="center"/>
        <w:rPr/>
      </w:pPr>
      <w:r>
        <w:rPr>
          <w:rFonts w:cs="Calibri" w:cstheme="minorHAnsi"/>
          <w:b/>
          <w:bCs/>
          <w:sz w:val="24"/>
          <w:szCs w:val="24"/>
        </w:rPr>
        <w:t>(artigo 150 da Lei 14.133/21)</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ind w:hanging="0" w:right="113"/>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Informamos que as despesas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w:t>
      </w:r>
      <w:r>
        <w:rPr>
          <w:rStyle w:val="Fontepargpadro"/>
          <w:rFonts w:eastAsia="Calibri" w:cs="Calibri"/>
          <w:b/>
          <w:bCs/>
          <w:i w:val="false"/>
          <w:iCs w:val="false"/>
          <w:color w:val="000000"/>
          <w:w w:val="115"/>
          <w:kern w:val="0"/>
          <w:sz w:val="24"/>
          <w:szCs w:val="24"/>
          <w:u w:val="none"/>
          <w:shd w:fill="auto" w:val="clear"/>
          <w:lang w:val="pt-BR" w:eastAsia="ar-SA" w:bidi="ar-SA"/>
        </w:rPr>
        <w:t>VEREADORES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Desempenho de Gestão Integrada: Estratégias, Práticas Avançadas e Legislação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r>
        <w:rPr>
          <w:rFonts w:cs="Calibri" w:cstheme="minorHAnsi"/>
          <w:sz w:val="24"/>
          <w:szCs w:val="24"/>
        </w:rPr>
        <w:t xml:space="preserve"> correrão a conta das dotações orçamentárias abaixo citadas do orçamento de 2025.</w:t>
      </w:r>
    </w:p>
    <w:p>
      <w:pPr>
        <w:pStyle w:val="PargrafodaLista1"/>
        <w:spacing w:lineRule="auto" w:line="276" w:before="120" w:after="120"/>
        <w:ind w:hanging="0" w:left="0"/>
        <w:contextualSpacing/>
        <w:jc w:val="both"/>
        <w:rPr>
          <w:rFonts w:ascii="Times New Roman" w:hAnsi="Times New Roman" w:cs="Calibri" w:cstheme="minorHAnsi"/>
        </w:rPr>
      </w:pPr>
      <w:r>
        <w:rPr>
          <w:rFonts w:cs="Calibri" w:cstheme="minorHAnsi"/>
        </w:rPr>
      </w:r>
    </w:p>
    <w:p>
      <w:pPr>
        <w:pStyle w:val="Normal"/>
        <w:spacing w:lineRule="auto" w:line="276" w:before="120" w:after="120"/>
        <w:jc w:val="both"/>
        <w:rPr/>
      </w:pPr>
      <w:r>
        <w:rPr>
          <w:rFonts w:cs="Calibri" w:cstheme="minorHAnsi"/>
          <w:b/>
          <w:bCs/>
          <w:caps/>
          <w:sz w:val="24"/>
          <w:szCs w:val="24"/>
        </w:rPr>
        <w:t>Dotação Orçamentária</w:t>
      </w:r>
      <w:r>
        <w:rPr>
          <w:rFonts w:cs="Calibri" w:cstheme="minorHAnsi"/>
          <w:b/>
          <w:bCs/>
          <w:sz w:val="24"/>
          <w:szCs w:val="24"/>
        </w:rPr>
        <w:t xml:space="preserve">: </w:t>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2094 – Manutenção das atividades do Poder Legislativo</w:t>
      </w:r>
    </w:p>
    <w:p>
      <w:pPr>
        <w:pStyle w:val="Normal"/>
        <w:spacing w:lineRule="auto" w:line="276"/>
        <w:jc w:val="both"/>
        <w:rPr/>
      </w:pPr>
      <w:r>
        <w:rPr>
          <w:lang w:val="pt-BR"/>
        </w:rPr>
        <w:t>Despesa: 3.3.90.39.00.00.00 – Outros Serviços de Terceiros Pessoa Jurídica</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Três Passos, 5 de agosto de 2025.</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center"/>
        <w:rPr/>
      </w:pPr>
      <w:r>
        <w:rPr>
          <w:rFonts w:cs="Calibri" w:cstheme="minorHAnsi"/>
          <w:bCs/>
          <w:sz w:val="24"/>
          <w:szCs w:val="24"/>
        </w:rPr>
        <w:t>Marlise Wiedthauper</w:t>
      </w:r>
    </w:p>
    <w:p>
      <w:pPr>
        <w:pStyle w:val="BodyText2"/>
        <w:spacing w:lineRule="auto" w:line="276" w:before="63" w:after="63"/>
        <w:jc w:val="center"/>
        <w:rPr/>
      </w:pPr>
      <w:r>
        <w:rPr>
          <w:rFonts w:cs="Calibri" w:cstheme="minorHAnsi"/>
          <w:bCs/>
          <w:sz w:val="24"/>
          <w:szCs w:val="24"/>
        </w:rPr>
        <w:t>Contadora</w:t>
      </w:r>
    </w:p>
    <w:p>
      <w:pPr>
        <w:pStyle w:val="Normal"/>
        <w:spacing w:lineRule="auto" w:line="276" w:before="63" w:after="63"/>
        <w:rPr>
          <w:rFonts w:ascii="Times New Roman" w:hAnsi="Times New Roman" w:cs="Calibri" w:cstheme="minorHAnsi"/>
          <w:sz w:val="24"/>
          <w:szCs w:val="24"/>
        </w:rPr>
      </w:pPr>
      <w:r>
        <w:rPr>
          <w:rFonts w:cs="Calibri" w:cstheme="minorHAnsi"/>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10" w:name="_Toc145248082"/>
      <w:r>
        <w:rPr>
          <w:rFonts w:cs="Calibri" w:cstheme="minorHAnsi"/>
          <w:b/>
          <w:bCs/>
          <w:sz w:val="24"/>
          <w:szCs w:val="24"/>
        </w:rPr>
        <w:t>PARECER FINANCEIRO</w:t>
      </w:r>
      <w:bookmarkEnd w:id="10"/>
    </w:p>
    <w:p>
      <w:pPr>
        <w:pStyle w:val="Normal"/>
        <w:spacing w:lineRule="auto" w:line="276" w:before="120" w:after="120"/>
        <w:jc w:val="both"/>
        <w:rPr/>
      </w:pPr>
      <w:r>
        <w:rPr>
          <w:rFonts w:cs="Calibri" w:cstheme="minorHAnsi"/>
          <w:sz w:val="24"/>
          <w:szCs w:val="24"/>
        </w:rPr>
        <w:t>A</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Diretora Geral,</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Prezada,</w:t>
      </w:r>
    </w:p>
    <w:p>
      <w:pPr>
        <w:pStyle w:val="Normal"/>
        <w:spacing w:lineRule="auto" w:line="276" w:before="120" w:after="120"/>
        <w:jc w:val="both"/>
        <w:rPr/>
      </w:pPr>
      <w:r>
        <w:rPr>
          <w:rFonts w:cs="Calibri" w:cstheme="minorHAnsi"/>
          <w:sz w:val="24"/>
          <w:szCs w:val="24"/>
        </w:rPr>
        <w:t xml:space="preserve">Após a apreciação da solicitação referente a Contratação de empresa para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Desempenho de Gestão Integrada: Estratégias, Práticas Avançadas e Legislação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r>
        <w:rPr>
          <w:rFonts w:cs="Calibri" w:cstheme="minorHAnsi"/>
          <w:sz w:val="24"/>
          <w:szCs w:val="24"/>
        </w:rPr>
        <w:t xml:space="preserve"> informamos que </w:t>
      </w:r>
      <w:r>
        <w:rPr>
          <w:rFonts w:cs="Calibri" w:cstheme="minorHAnsi"/>
          <w:b/>
          <w:bCs/>
          <w:sz w:val="24"/>
          <w:szCs w:val="24"/>
          <w:u w:val="single"/>
        </w:rPr>
        <w:t xml:space="preserve">EXISTE </w:t>
      </w:r>
      <w:r>
        <w:rPr>
          <w:rFonts w:cs="Calibri" w:cstheme="minorHAnsi"/>
          <w:sz w:val="24"/>
          <w:szCs w:val="24"/>
        </w:rPr>
        <w:t>disponibilidade financeira para execução do objeto do presente processo à contratação.</w:t>
      </w:r>
    </w:p>
    <w:p>
      <w:pPr>
        <w:pStyle w:val="Normal"/>
        <w:spacing w:lineRule="auto" w:line="276" w:before="120" w:after="120"/>
        <w:jc w:val="both"/>
        <w:rPr>
          <w:color w:val="auto"/>
        </w:rPr>
      </w:pPr>
      <w:r>
        <w:rPr>
          <w:rFonts w:cs="Calibri" w:cstheme="minorHAnsi"/>
          <w:b/>
          <w:bCs/>
          <w:color w:val="auto"/>
          <w:sz w:val="24"/>
          <w:szCs w:val="24"/>
        </w:rPr>
        <w:t>Observação:</w:t>
      </w:r>
      <w:r>
        <w:rPr>
          <w:rFonts w:cs="Calibri" w:cstheme="minorHAnsi"/>
          <w:color w:val="auto"/>
          <w:sz w:val="24"/>
          <w:szCs w:val="24"/>
        </w:rPr>
        <w:t xml:space="preserve"> Incluir impacto Orçamentário - Financeiro no caso de despesa obrigatória de caráter continuado.</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Três Passos, 5 de agosto de 2025.</w:t>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pPr>
      <w:r>
        <w:rPr>
          <w:rFonts w:cs="Calibri" w:cstheme="minorHAnsi"/>
          <w:sz w:val="24"/>
          <w:szCs w:val="24"/>
        </w:rPr>
        <w:t>Marlise Wiedthauper</w:t>
      </w:r>
    </w:p>
    <w:p>
      <w:pPr>
        <w:pStyle w:val="Normal"/>
        <w:spacing w:lineRule="auto" w:line="276" w:before="63" w:after="63"/>
        <w:jc w:val="center"/>
        <w:rPr/>
      </w:pPr>
      <w:r>
        <w:rPr>
          <w:rFonts w:cs="Calibri" w:cstheme="minorHAnsi"/>
          <w:sz w:val="24"/>
          <w:szCs w:val="24"/>
        </w:rPr>
        <w:t>Contadora</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pPr>
      <w:bookmarkStart w:id="11" w:name="_Toc145248084"/>
      <w:r>
        <w:rPr>
          <w:rFonts w:cs="Calibri" w:cstheme="minorHAnsi"/>
          <w:b/>
          <w:bCs/>
          <w:sz w:val="24"/>
          <w:szCs w:val="24"/>
        </w:rPr>
        <w:t>SOLICITAÇÃO DE PARECER JURÍDICO</w:t>
      </w:r>
      <w:bookmarkEnd w:id="11"/>
    </w:p>
    <w:p>
      <w:pPr>
        <w:pStyle w:val="Normal"/>
        <w:tabs>
          <w:tab w:val="clear" w:pos="709"/>
          <w:tab w:val="left" w:pos="4890" w:leader="none"/>
        </w:tabs>
        <w:spacing w:lineRule="auto" w:line="276" w:before="120" w:after="120"/>
        <w:jc w:val="right"/>
        <w:rPr>
          <w:rFonts w:cs="Calibri" w:cstheme="minorHAnsi"/>
          <w:color w:val="auto"/>
          <w:highlight w:val="none"/>
          <w:shd w:fill="auto" w:val="clear"/>
        </w:rPr>
      </w:pPr>
      <w:r>
        <w:rPr>
          <w:rFonts w:cs="Calibri" w:cstheme="minorHAnsi"/>
          <w:color w:val="000000"/>
          <w:sz w:val="24"/>
          <w:szCs w:val="24"/>
          <w:shd w:fill="auto" w:val="clear"/>
        </w:rPr>
        <w:t>Três Passos, 5 de agosto de 2025.</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 xml:space="preserve">À </w:t>
      </w:r>
    </w:p>
    <w:p>
      <w:pPr>
        <w:pStyle w:val="Normal"/>
        <w:spacing w:lineRule="auto" w:line="276" w:before="120" w:after="120"/>
        <w:rPr/>
      </w:pPr>
      <w:r>
        <w:rPr>
          <w:rFonts w:cs="Calibri" w:cstheme="minorHAnsi"/>
          <w:sz w:val="24"/>
          <w:szCs w:val="24"/>
        </w:rPr>
        <w:t>Assessoria Jurídica</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Prezado Senhor,</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parecer jurídico referente ao </w:t>
      </w:r>
      <w:r>
        <w:rPr>
          <w:rFonts w:cs="Calibri" w:cstheme="minorHAnsi"/>
          <w:b/>
          <w:bCs/>
          <w:sz w:val="24"/>
          <w:szCs w:val="24"/>
        </w:rPr>
        <w:t>PROCESSO LICITATÓRIO Nº. 37</w:t>
      </w:r>
      <w:r>
        <w:rPr>
          <w:rFonts w:cs="Calibri" w:cstheme="minorHAnsi"/>
          <w:b/>
          <w:bCs/>
          <w:sz w:val="24"/>
          <w:szCs w:val="24"/>
          <w:shd w:fill="auto" w:val="clear"/>
        </w:rPr>
        <w:t xml:space="preserve">/2025 </w:t>
      </w:r>
      <w:r>
        <w:rPr>
          <w:rFonts w:cs="Calibri" w:cstheme="minorHAnsi"/>
          <w:b/>
          <w:bCs/>
          <w:sz w:val="24"/>
          <w:szCs w:val="24"/>
        </w:rPr>
        <w:t>- PROCESSO DE INEXIGIBILIDADE Nº.11/2025,</w:t>
      </w:r>
      <w:r>
        <w:rPr>
          <w:rFonts w:cs="Calibri" w:cstheme="minorHAnsi"/>
          <w:sz w:val="24"/>
          <w:szCs w:val="24"/>
        </w:rPr>
        <w:t xml:space="preserve"> objetivando a Contratação de empresa para </w:t>
      </w:r>
      <w:r>
        <w:rPr>
          <w:rStyle w:val="Fontepargpadro"/>
          <w:rFonts w:eastAsia="Calibri" w:cs="Calibri"/>
          <w:b/>
          <w:bCs/>
          <w:i w:val="false"/>
          <w:iCs w:val="false"/>
          <w:color w:val="000000"/>
          <w:w w:val="115"/>
          <w:kern w:val="0"/>
          <w:sz w:val="24"/>
          <w:szCs w:val="24"/>
          <w:u w:val="none"/>
          <w:shd w:fill="auto" w:val="clear"/>
          <w:lang w:val="pt-BR" w:eastAsia="ar-SA" w:bidi="ar-SA"/>
        </w:rPr>
        <w:t>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Desempenho de Gestão Integrada: Estratégias, Práticas Avançadas e Legislação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p>
    <w:p>
      <w:pPr>
        <w:pStyle w:val="Normal"/>
        <w:spacing w:lineRule="auto" w:line="276" w:before="120" w:after="120"/>
        <w:jc w:val="both"/>
        <w:rPr/>
      </w:pPr>
      <w:r>
        <w:rPr>
          <w:rFonts w:cs="Calibri" w:cstheme="minorHAnsi"/>
          <w:sz w:val="24"/>
          <w:szCs w:val="24"/>
        </w:rPr>
        <w:t>Atenciosamente,</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pPr>
      <w:r>
        <w:rPr>
          <w:rFonts w:cs="Calibri" w:cstheme="minorHAnsi"/>
          <w:sz w:val="24"/>
          <w:szCs w:val="24"/>
        </w:rPr>
        <w:t>............................................…</w:t>
      </w:r>
    </w:p>
    <w:p>
      <w:pPr>
        <w:pStyle w:val="Normal"/>
        <w:spacing w:lineRule="auto" w:line="276" w:before="120" w:after="120"/>
        <w:jc w:val="center"/>
        <w:rPr/>
      </w:pPr>
      <w:r>
        <w:rPr>
          <w:rFonts w:cs="Calibri" w:cstheme="minorHAnsi"/>
          <w:sz w:val="24"/>
          <w:szCs w:val="24"/>
        </w:rPr>
        <w:t xml:space="preserve">Presidente </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color w:val="FF0000"/>
          <w:sz w:val="24"/>
          <w:szCs w:val="24"/>
        </w:rPr>
      </w:pPr>
      <w:r>
        <w:rPr>
          <w:rFonts w:cs="Calibri" w:cstheme="minorHAnsi"/>
          <w:color w:val="FF0000"/>
          <w:sz w:val="24"/>
          <w:szCs w:val="24"/>
        </w:rPr>
      </w:r>
      <w:r>
        <w:br w:type="page"/>
      </w:r>
    </w:p>
    <w:p>
      <w:pPr>
        <w:pStyle w:val="Heading1"/>
        <w:spacing w:lineRule="auto" w:line="276" w:before="0" w:after="120"/>
        <w:jc w:val="center"/>
        <w:rPr/>
      </w:pPr>
      <w:r>
        <w:rPr>
          <w:rFonts w:eastAsia="Times New Roman" w:cs="Calibri" w:cstheme="minorHAnsi"/>
          <w:b/>
          <w:bCs/>
          <w:sz w:val="24"/>
          <w:szCs w:val="24"/>
        </w:rPr>
        <w:t>ATO DE ENCAMINHAMENTO À AUTORIDADE SUPERIOR</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Três Passos, 5 de agosto de 2025.</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 xml:space="preserve">Exmo. </w:t>
      </w:r>
    </w:p>
    <w:p>
      <w:pPr>
        <w:pStyle w:val="BodyText2"/>
        <w:spacing w:lineRule="auto" w:line="276" w:before="120" w:after="120"/>
        <w:jc w:val="both"/>
        <w:rPr/>
      </w:pPr>
      <w:r>
        <w:rPr>
          <w:rFonts w:cs="Calibri" w:cstheme="minorHAnsi"/>
          <w:sz w:val="24"/>
          <w:szCs w:val="24"/>
        </w:rPr>
        <w:t>Sr. Flavio Habitzreiter</w:t>
      </w:r>
    </w:p>
    <w:p>
      <w:pPr>
        <w:pStyle w:val="Normal"/>
        <w:spacing w:lineRule="auto" w:line="276" w:before="120" w:after="120"/>
        <w:jc w:val="both"/>
        <w:rPr/>
      </w:pPr>
      <w:r>
        <w:rPr>
          <w:rFonts w:cs="Calibri" w:cstheme="minorHAnsi"/>
          <w:sz w:val="24"/>
          <w:szCs w:val="24"/>
        </w:rPr>
        <w:t>DD. Presidente da Câmara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Prezado Senhor,</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Desempenho de Gestão Integrada: Estratégias, Práticas Avançadas e Legislação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 e se encontra devidamente instruído, nos termos do seu art. 72.</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120" w:after="120"/>
        <w:ind w:firstLine="1418"/>
        <w:jc w:val="both"/>
        <w:rPr>
          <w:rFonts w:ascii="Times New Roman" w:hAnsi="Times New Roman"/>
        </w:rPr>
      </w:pPr>
      <w:r>
        <w:rPr/>
      </w:r>
    </w:p>
    <w:p>
      <w:pPr>
        <w:pStyle w:val="BodyText2"/>
        <w:spacing w:lineRule="auto" w:line="276" w:before="6" w:after="6"/>
        <w:jc w:val="center"/>
        <w:rPr/>
      </w:pPr>
      <w:r>
        <w:rPr>
          <w:rFonts w:cs="Calibri" w:cstheme="minorHAnsi"/>
          <w:bCs/>
          <w:sz w:val="24"/>
          <w:szCs w:val="24"/>
          <w:shd w:fill="auto" w:val="clear"/>
        </w:rPr>
        <w:t>Emanuelle Cavalcante Carvalho Petrazzini</w:t>
      </w:r>
    </w:p>
    <w:p>
      <w:pPr>
        <w:pStyle w:val="BodyText2"/>
        <w:spacing w:lineRule="auto" w:line="276" w:before="6" w:after="6"/>
        <w:jc w:val="center"/>
        <w:rPr/>
      </w:pPr>
      <w:r>
        <w:rPr>
          <w:rFonts w:cs="Calibri" w:cstheme="minorHAnsi"/>
          <w:bCs/>
          <w:sz w:val="24"/>
          <w:szCs w:val="24"/>
          <w:shd w:fill="auto" w:val="clear"/>
        </w:rPr>
        <w:t>Requisitante</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spacing w:lineRule="auto" w:line="276" w:before="0" w:after="120"/>
        <w:jc w:val="center"/>
        <w:rPr/>
      </w:pPr>
      <w:r>
        <w:rPr>
          <w:rFonts w:cs="Calibri" w:cstheme="minorHAnsi"/>
          <w:b/>
          <w:bCs/>
          <w:sz w:val="24"/>
          <w:szCs w:val="24"/>
        </w:rPr>
        <w:t>HOMOLOGAÇÃO DO PROCESSO E AUTORIZAÇÃO PARA A CONTRATAÇÃO</w:t>
      </w:r>
    </w:p>
    <w:p>
      <w:pPr>
        <w:pStyle w:val="BodyText2"/>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Três Passos, 5 de agosto de 2025.</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Homologo o processo de inexigibilidade de licitação nº 11/2025.</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Autorizo a contratação da empresa</w:t>
      </w:r>
      <w:r>
        <w:rPr/>
        <w:t xml:space="preserve"> </w:t>
      </w:r>
      <w:r>
        <w:rPr>
          <w:rStyle w:val="Strong"/>
          <w:shd w:fill="auto" w:val="clear"/>
        </w:rPr>
        <w:t>KELI LETICIA BIGUELINI LTDA CNPJ: 59.052.003/0001-11</w:t>
      </w:r>
      <w:r>
        <w:rPr/>
        <w:t xml:space="preserve"> </w:t>
      </w:r>
      <w:r>
        <w:rPr>
          <w:rFonts w:cs="Calibri" w:cstheme="minorHAnsi"/>
          <w:sz w:val="24"/>
          <w:szCs w:val="24"/>
        </w:rPr>
        <w:t>pa</w:t>
      </w:r>
      <w:r>
        <w:rPr>
          <w:rFonts w:cs="Calibri" w:cstheme="minorHAnsi"/>
          <w:b w:val="false"/>
          <w:bCs w:val="false"/>
          <w:sz w:val="24"/>
          <w:szCs w:val="24"/>
        </w:rPr>
        <w:t>ra</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participação de </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vereadores </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da</w:t>
      </w:r>
      <w:r>
        <w:rPr>
          <w:rStyle w:val="Fontepargpadro"/>
          <w:rFonts w:eastAsia="Calibri" w:cs="Arial"/>
          <w:b w:val="false"/>
          <w:bCs w:val="false"/>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en-US" w:bidi="ar-SA"/>
        </w:rPr>
        <w:t>“</w:t>
      </w:r>
      <w:r>
        <w:rPr>
          <w:rStyle w:val="Strong"/>
          <w:rFonts w:eastAsia="Calibri" w:cs="Times New Roman"/>
          <w:i w:val="false"/>
          <w:iCs w:val="false"/>
          <w:caps w:val="false"/>
          <w:smallCaps w:val="false"/>
          <w:strike w:val="false"/>
          <w:dstrike w:val="false"/>
          <w:color w:val="000000"/>
          <w:spacing w:val="0"/>
          <w:w w:val="115"/>
          <w:kern w:val="0"/>
          <w:sz w:val="24"/>
          <w:szCs w:val="24"/>
          <w:u w:val="none"/>
          <w:effect w:val="none"/>
          <w:shd w:fill="auto" w:val="clear"/>
          <w:lang w:val="pt-BR" w:eastAsia="ar-SA" w:bidi="ar-SA"/>
        </w:rPr>
        <w:t>Desempenho de Gestão Integrada: Estratégias, Práticas Avançadas e Legislação</w:t>
      </w:r>
      <w:r>
        <w:rPr>
          <w:rStyle w:val="Hyperlink"/>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ar-SA" w:bidi="ar-SA"/>
        </w:rPr>
        <w:t>”</w:t>
      </w:r>
      <w:r>
        <w:rPr>
          <w:rFonts w:cs="Calibri" w:cstheme="minorHAnsi"/>
          <w:sz w:val="24"/>
          <w:szCs w:val="24"/>
        </w:rPr>
        <w:t xml:space="preserve"> referente à </w:t>
      </w:r>
      <w:r>
        <w:rPr>
          <w:rFonts w:cs="Calibri" w:cstheme="minorHAnsi"/>
          <w:b/>
          <w:bCs/>
          <w:sz w:val="24"/>
          <w:szCs w:val="24"/>
        </w:rPr>
        <w:t xml:space="preserve">04 (quatro) inscrições </w:t>
      </w:r>
      <w:r>
        <w:rPr>
          <w:rFonts w:cs="Calibri" w:cstheme="minorHAnsi"/>
          <w:sz w:val="24"/>
          <w:szCs w:val="24"/>
        </w:rPr>
        <w:t xml:space="preserve">no curso para vereadores deste órgão, pelo valor total de </w:t>
      </w:r>
      <w:r>
        <w:rPr>
          <w:rFonts w:cs="Calibri" w:cstheme="minorHAnsi"/>
          <w:b/>
          <w:bCs/>
          <w:sz w:val="24"/>
          <w:szCs w:val="24"/>
        </w:rPr>
        <w:t>R$5.560,00</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Publique-se.</w:t>
      </w:r>
    </w:p>
    <w:p>
      <w:pPr>
        <w:pStyle w:val="Normal"/>
        <w:spacing w:lineRule="auto" w:line="276" w:before="120" w:after="120"/>
        <w:jc w:val="center"/>
        <w:rPr/>
      </w:pPr>
      <w:r>
        <w:rPr>
          <w:rFonts w:cs="Calibri" w:cstheme="minorHAnsi"/>
          <w:sz w:val="24"/>
          <w:szCs w:val="24"/>
        </w:rPr>
        <w:t>Assinatura</w:t>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pPr>
      <w:r>
        <w:rPr>
          <w:rFonts w:cs="Calibri" w:cstheme="minorHAnsi"/>
          <w:sz w:val="24"/>
          <w:szCs w:val="24"/>
          <w:shd w:fill="auto" w:val="clear"/>
        </w:rPr>
        <w:t>Flavio Habitzreiter</w:t>
      </w:r>
    </w:p>
    <w:p>
      <w:pPr>
        <w:pStyle w:val="BodyText2"/>
        <w:spacing w:lineRule="auto" w:line="276" w:before="63" w:after="63"/>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0" w:after="160"/>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330" w:top="1980" w:footer="600" w:bottom="14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false"/>
      <w:bidi w:val="0"/>
      <w:spacing w:lineRule="auto" w:line="228" w:before="100" w:after="0"/>
      <w:ind w:hanging="0" w:left="2665" w:right="510"/>
      <w:jc w:val="center"/>
      <w:rPr/>
    </w:pPr>
    <w:r>
      <w:drawing>
        <wp:anchor behindDoc="1" distT="0" distB="0" distL="0" distR="0" simplePos="0" locked="0" layoutInCell="1" allowOverlap="1" relativeHeight="24">
          <wp:simplePos x="0" y="0"/>
          <wp:positionH relativeFrom="column">
            <wp:posOffset>1837055</wp:posOffset>
          </wp:positionH>
          <wp:positionV relativeFrom="paragraph">
            <wp:posOffset>55245</wp:posOffset>
          </wp:positionV>
          <wp:extent cx="582295" cy="70739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fals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fals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false"/>
      <w:bidi w:val="0"/>
      <w:spacing w:lineRule="auto" w:line="228" w:before="100" w:after="0"/>
      <w:ind w:hanging="0" w:left="2665" w:right="510"/>
      <w:jc w:val="center"/>
      <w:rPr/>
    </w:pPr>
    <w:r>
      <w:drawing>
        <wp:anchor behindDoc="1" distT="0" distB="0" distL="0" distR="0" simplePos="0" locked="0" layoutInCell="1" allowOverlap="1" relativeHeight="24">
          <wp:simplePos x="0" y="0"/>
          <wp:positionH relativeFrom="column">
            <wp:posOffset>1837055</wp:posOffset>
          </wp:positionH>
          <wp:positionV relativeFrom="paragraph">
            <wp:posOffset>55245</wp:posOffset>
          </wp:positionV>
          <wp:extent cx="582295" cy="707390"/>
          <wp:effectExtent l="0" t="0" r="0" b="0"/>
          <wp:wrapNone/>
          <wp:docPr id="2"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fals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fals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0"/>
  <w:embedSystemFonts/>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InternetLink1">
    <w:name w:val="Internet Link1"/>
    <w:qFormat/>
    <w:rPr>
      <w:color w:val="000080"/>
      <w:u w:val="single"/>
    </w:rPr>
  </w:style>
  <w:style w:type="character" w:styleId="Hyperlink">
    <w:name w:val="Hyperlink"/>
    <w:rPr>
      <w:color w:val="000080"/>
      <w:u w:val="single"/>
    </w:rPr>
  </w:style>
  <w:style w:type="character" w:styleId="Smbolosdenumeraouser">
    <w:name w:val="Símbolos de numeração (user)"/>
    <w:qFormat/>
    <w:rPr/>
  </w:style>
  <w:style w:type="character" w:styleId="Marcadoresuser">
    <w:name w:val="Marcadores (user)"/>
    <w:qFormat/>
    <w:rPr>
      <w:rFonts w:ascii="OpenSymbol" w:hAnsi="OpenSymbol" w:eastAsia="OpenSymbol" w:cs="OpenSymbol"/>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character" w:styleId="Emphasis">
    <w:name w:val="Emphasis"/>
    <w:qFormat/>
    <w:rPr>
      <w:i/>
      <w:i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Cabealhoerodap22">
    <w:name w:val="Cabeçalho e rodapé22"/>
    <w:basedOn w:val="Normal"/>
    <w:qFormat/>
    <w:pPr/>
    <w:rPr/>
  </w:style>
  <w:style w:type="paragraph" w:styleId="Cabealhoerodap23">
    <w:name w:val="Cabeçalho e rodapé23"/>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fals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fals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user" w:customStyle="1">
    <w:name w:val="Conteúdo da tabela (user)"/>
    <w:basedOn w:val="Normal"/>
    <w:qFormat/>
    <w:pPr>
      <w:suppressLineNumbers/>
    </w:pPr>
    <w:rPr/>
  </w:style>
  <w:style w:type="paragraph" w:styleId="Ttulodetabelauser" w:customStyle="1">
    <w:name w:val="Título de tabela (user)"/>
    <w:basedOn w:val="Contedodatabelauser"/>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FootnoteText">
    <w:name w:val="footnote text"/>
    <w:basedOn w:val="Normal"/>
    <w:pPr>
      <w:spacing w:lineRule="auto" w:line="240" w:before="0" w:after="0"/>
    </w:pPr>
    <w:rPr>
      <w:sz w:val="20"/>
      <w:szCs w:val="20"/>
    </w:rPr>
  </w:style>
  <w:style w:type="paragraph" w:styleId="PargrafodaLista1">
    <w:name w:val="Parágrafo da Lista1"/>
    <w:basedOn w:val="Normal"/>
    <w:qFormat/>
    <w:pPr>
      <w:spacing w:lineRule="auto" w:line="254" w:before="0" w:after="160"/>
      <w:ind w:hanging="0" w:left="720"/>
      <w:contextualSpacing/>
    </w:pPr>
    <w:rPr>
      <w:rFonts w:ascii="Times New Roman" w:hAnsi="Times New Roman" w:eastAsia="Times New Roman" w:cs="Times New Roman"/>
      <w:kern w:val="0"/>
      <w:sz w:val="24"/>
      <w:szCs w:val="24"/>
      <w:lang w:eastAsia="pt-BR"/>
      <w14:ligatures w14:val="none"/>
    </w:rPr>
  </w:style>
  <w:style w:type="paragraph" w:styleId="PargrafodaLista">
    <w:name w:val="Parágrafo da Lista"/>
    <w:basedOn w:val="Normal"/>
    <w:qFormat/>
    <w:pPr>
      <w:spacing w:lineRule="auto" w:line="276" w:before="0" w:after="200"/>
      <w:ind w:hanging="0" w:left="720"/>
      <w:contextualSpacing/>
    </w:pPr>
    <w:rPr>
      <w:rFonts w:ascii="Calibri" w:hAnsi="Calibri" w:eastAsia="Calibri"/>
      <w:sz w:val="22"/>
      <w:szCs w:val="22"/>
      <w:lang w:eastAsia="ar-SA"/>
    </w:rPr>
  </w:style>
  <w:style w:type="numbering" w:styleId="Semlistauser" w:default="1">
    <w:name w:val="Sem lista (user)"/>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2862</TotalTime>
  <Application>LibreOffice/25.2.4.3$Windows_X86_64 LibreOffice_project/33e196637044ead23f5c3226cde09b47731f7e27</Application>
  <AppVersion>15.0000</AppVersion>
  <Pages>23</Pages>
  <Words>4540</Words>
  <Characters>27692</Characters>
  <CharactersWithSpaces>31947</CharactersWithSpaces>
  <Paragraphs>360</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2025-06-26T10:11:37Z</cp:lastPrinted>
  <dcterms:modified xsi:type="dcterms:W3CDTF">2025-08-05T16:51:50Z</dcterms:modified>
  <cp:revision>133</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