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12 (doze) dias de setembro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44</w:t>
      </w:r>
      <w:r>
        <w:rPr>
          <w:rFonts w:cs="Calibri" w:cstheme="minorHAnsi"/>
          <w:b/>
          <w:bCs/>
          <w:sz w:val="24"/>
          <w:szCs w:val="24"/>
          <w:shd w:fill="auto" w:val="clear"/>
        </w:rPr>
        <w:t>/2025</w:t>
      </w:r>
      <w:r>
        <w:rPr>
          <w:rFonts w:cs="Calibri" w:cstheme="minorHAnsi"/>
          <w:b/>
          <w:bCs/>
          <w:sz w:val="24"/>
          <w:szCs w:val="24"/>
        </w:rPr>
        <w:t xml:space="preserve"> - INEXIGIBILIDADE DE LICITAÇÃO Nº. 1</w:t>
      </w:r>
      <w:r>
        <w:rPr>
          <w:rFonts w:cs="Calibri" w:cstheme="minorHAnsi"/>
          <w:b/>
          <w:bCs/>
          <w:sz w:val="24"/>
          <w:szCs w:val="24"/>
        </w:rPr>
        <w:t>3</w:t>
      </w:r>
      <w:r>
        <w:rPr>
          <w:rFonts w:cs="Calibri" w:cstheme="minorHAnsi"/>
          <w:b/>
          <w:bCs/>
          <w:sz w:val="24"/>
          <w:szCs w:val="24"/>
        </w:rPr>
        <w:t xml:space="preserve">/2025.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44/2025</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 da Câmara Municipal de Três Passos-RS no C</w:t>
            </w:r>
            <w:r>
              <w:rPr>
                <w:rStyle w:val="Fontepargpadro"/>
                <w:color w:val="auto"/>
                <w:u w:val="none"/>
                <w:lang w:val="pt-BR" w:eastAsia="ar-SA" w:bidi="ar-SA"/>
              </w:rPr>
              <w:t>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w:t>
              <w:br/>
              <w:t>Licitações, Contratos e Governança Eficiente</w:t>
            </w:r>
            <w:r>
              <w:rPr>
                <w:rStyle w:val="Fontepargpadro"/>
                <w:color w:val="auto"/>
                <w:u w:val="none"/>
                <w:lang w:val="pt-BR" w:eastAsia="ar-SA" w:bidi="ar-SA"/>
              </w:rPr>
              <w:t>”.</w:t>
            </w:r>
          </w:p>
        </w:tc>
      </w:tr>
      <w:tr>
        <w:trPr>
          <w:trHeight w:val="745"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sz w:val="24"/>
                <w:szCs w:val="24"/>
              </w:rPr>
              <w:t>Diante da complexidade e constante evolução das normas que regem a Administração Pública, torna-se imprescindível que os vereadores estejam continuamente capacitados para exercer suas funções com eficiência, responsabilidade e alinhamento às boas práticas de gestão.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 xml:space="preserve">O curso em questão contemplará uma programação abrangente e estratégica, abordando temas como </w:t>
            </w:r>
            <w:r>
              <w:rPr>
                <w:rStyle w:val="Strong"/>
                <w:rFonts w:cs="Calibri" w:ascii="Times New Roman" w:hAnsi="Times New Roman" w:cstheme="minorHAnsi"/>
              </w:rPr>
              <w:t>gestão e fiscalização de contratos e convênios, práticas em licitações, aspectos legais do impeachment, atendimento ao público, lei do saneamento básico, compras públicas, compliance e transparência, auditoria governamental, direito administrativo e políticas públicas, além de inovação em governança</w:t>
            </w:r>
            <w:r>
              <w:rPr>
                <w:rFonts w:cs="Calibri" w:ascii="Times New Roman" w:hAnsi="Times New Roman" w:cstheme="minorHAnsi"/>
              </w:rPr>
              <w:t>.</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 xml:space="preserve">O aprofundamento desses conteúdos contribuirá diretamente para a </w:t>
            </w:r>
            <w:r>
              <w:rPr>
                <w:rStyle w:val="Strong"/>
                <w:rFonts w:cs="Calibri" w:ascii="Times New Roman" w:hAnsi="Times New Roman" w:cstheme="minorHAnsi"/>
              </w:rPr>
              <w:t>qualificação técnica dos parlamentares</w:t>
            </w:r>
            <w:r>
              <w:rPr>
                <w:rFonts w:cs="Calibri" w:ascii="Times New Roman" w:hAnsi="Times New Roman" w:cstheme="minorHAnsi"/>
              </w:rPr>
              <w:t>, garantindo maior segurança jurídica nas deliberações, fortalecimento da atuação legislativa, aprimoramento da fiscalização de contratos e convênios, bem como o desenvolvimento de práticas mais modernas e inovadoras de gestão pública.</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Dessa forma, a participação no curso representa uma medida estratégica para o desenvolvimento institucional da Câmara Municipal de Três Passos, ampliando sua capacidade de atuação em benefício do interesse público e assegurando que o Poder Legislativo esteja preparado para enfrentar os desafios contemporâneos da administração pública.</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Nesse sentido, justifica-se a capacitação do seguinte vereador:</w:t>
            </w:r>
          </w:p>
          <w:p>
            <w:pPr>
              <w:pStyle w:val="BodyText"/>
              <w:numPr>
                <w:ilvl w:val="0"/>
                <w:numId w:val="2"/>
              </w:numPr>
              <w:tabs>
                <w:tab w:val="clear" w:pos="709"/>
                <w:tab w:val="left" w:pos="0" w:leader="none"/>
              </w:tabs>
              <w:suppressAutoHyphens w:val="true"/>
              <w:spacing w:lineRule="auto" w:line="276" w:before="0" w:after="283"/>
              <w:ind w:hanging="283" w:left="709"/>
              <w:rPr>
                <w:rFonts w:ascii="Times New Roman" w:hAnsi="Times New Roman" w:cs="Calibri" w:cstheme="minorHAnsi"/>
              </w:rPr>
            </w:pPr>
            <w:r>
              <w:rPr>
                <w:rFonts w:cs="Calibri" w:ascii="Times New Roman" w:hAnsi="Times New Roman" w:cstheme="minorHAnsi"/>
              </w:rPr>
              <w:t>Dauri Morgenstern</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222"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638" w:type="dxa"/>
                  <w:tcBorders>
                    <w:bottom w:val="single" w:sz="8" w:space="0" w:color="000000"/>
                    <w:right w:val="single" w:sz="4" w:space="0" w:color="000000"/>
                  </w:tcBorders>
                </w:tcPr>
                <w:p>
                  <w:pPr>
                    <w:pStyle w:val="BodyText"/>
                    <w:keepNext w:val="true"/>
                    <w:widowControl/>
                    <w:suppressAutoHyphens w:val="true"/>
                    <w:overflowPunct w:val="true"/>
                    <w:bidi w:val="0"/>
                    <w:spacing w:lineRule="auto" w:line="276" w:before="0" w:after="0"/>
                    <w:ind w:hanging="0" w:left="113" w:right="0"/>
                    <w:jc w:val="both"/>
                    <w:rPr>
                      <w:rFonts w:ascii="Times New Roman" w:hAnsi="Times New Roman"/>
                      <w:color w:val="auto"/>
                      <w:sz w:val="20"/>
                      <w:szCs w:val="20"/>
                    </w:rPr>
                  </w:pPr>
                  <w:r>
                    <w:rPr>
                      <w:rStyle w:val="Strong"/>
                      <w:rFonts w:cs="Times New Roman" w:ascii="Times New Roman" w:hAnsi="Times New Roman"/>
                      <w:i w:val="false"/>
                      <w:caps w:val="false"/>
                      <w:smallCaps w:val="false"/>
                      <w:color w:val="000000"/>
                      <w:spacing w:val="0"/>
                      <w:sz w:val="20"/>
                      <w:szCs w:val="20"/>
                    </w:rPr>
                    <w:t>Gestão e Fiscalização de Contratos e Convênios</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Práticas Eficientes em Licitações e Contratos</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Aspectos Legais do Impeachment e Comissões Processantes</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Atendimento ao Público e Protocolos</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Lei do Saneamento Básico e Aplicações Práticas</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Compras Públicas: Estratégias e Dispensas</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Gestão Estratégica com Compliance e Transparência</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Auditoria e Controle Governamental</w:t>
                  </w:r>
                </w:p>
                <w:p>
                  <w:pPr>
                    <w:pStyle w:val="BodyText"/>
                    <w:numPr>
                      <w:ilvl w:val="0"/>
                      <w:numId w:val="1"/>
                    </w:numPr>
                    <w:tabs>
                      <w:tab w:val="clear" w:pos="709"/>
                      <w:tab w:val="left" w:pos="0" w:leader="none"/>
                    </w:tabs>
                    <w:suppressAutoHyphens w:val="true"/>
                    <w:spacing w:lineRule="auto" w:line="276"/>
                    <w:ind w:hanging="283" w:left="709" w:right="0"/>
                    <w:rPr>
                      <w:rFonts w:ascii="Times New Roman" w:hAnsi="Times New Roman" w:cs="Times New Roman"/>
                      <w:color w:val="000000"/>
                      <w:sz w:val="20"/>
                      <w:szCs w:val="20"/>
                    </w:rPr>
                  </w:pPr>
                  <w:r>
                    <w:rPr>
                      <w:rStyle w:val="Strong"/>
                      <w:rFonts w:cs="Times New Roman" w:ascii="Times New Roman" w:hAnsi="Times New Roman"/>
                      <w:color w:val="000000"/>
                      <w:sz w:val="20"/>
                      <w:szCs w:val="20"/>
                    </w:rPr>
                    <w:t>Direito Administrativo e Políticas Públicas</w:t>
                  </w:r>
                </w:p>
                <w:p>
                  <w:pPr>
                    <w:pStyle w:val="BodyText"/>
                    <w:numPr>
                      <w:ilvl w:val="0"/>
                      <w:numId w:val="1"/>
                    </w:numPr>
                    <w:tabs>
                      <w:tab w:val="clear" w:pos="709"/>
                      <w:tab w:val="left" w:pos="0" w:leader="none"/>
                    </w:tabs>
                    <w:suppressAutoHyphens w:val="true"/>
                    <w:spacing w:lineRule="auto" w:line="276" w:before="0" w:after="283"/>
                    <w:ind w:hanging="283" w:left="709" w:right="0"/>
                    <w:rPr/>
                  </w:pPr>
                  <w:r>
                    <w:rPr>
                      <w:rStyle w:val="Strong"/>
                      <w:rFonts w:cs="Times New Roman" w:ascii="Times New Roman" w:hAnsi="Times New Roman"/>
                      <w:color w:val="000000"/>
                      <w:sz w:val="20"/>
                      <w:szCs w:val="20"/>
                    </w:rPr>
                    <w:t>Inovação em Gestão Pública e Governança.</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01</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R$ 1.390,00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R$ 1.390,00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cs="Calibri" w:cstheme="minorHAnsi"/>
                      <w:highlight w:val="none"/>
                      <w:shd w:fill="auto" w:val="clear"/>
                    </w:rPr>
                  </w:pPr>
                  <w:r>
                    <w:rPr>
                      <w:rFonts w:eastAsia="Times New Roman" w:cs="Calibri" w:cstheme="minorHAnsi"/>
                      <w:b/>
                      <w:bCs/>
                      <w:sz w:val="24"/>
                      <w:szCs w:val="24"/>
                      <w:shd w:fill="auto" w:val="clear"/>
                    </w:rPr>
                    <w:t>Valor Total: R$ 1.390,00  (mil, trezentos e noventa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R$1.390,00 (mil trezentos e noventa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12 de setembro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sz w:val="24"/>
                <w:szCs w:val="24"/>
              </w:rPr>
            </w:pPr>
            <w:r>
              <w:rPr>
                <w:rFonts w:eastAsia="Times New Roman" w:cs="Calibri" w:cstheme="minorHAnsi"/>
                <w:sz w:val="24"/>
                <w:szCs w:val="24"/>
              </w:rPr>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44/2025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widowControl/>
        <w:suppressAutoHyphens w:val="true"/>
        <w:overflowPunct w:val="true"/>
        <w:bidi w:val="0"/>
        <w:spacing w:lineRule="auto" w:line="276"/>
        <w:ind w:firstLine="1077" w:left="0" w:right="0"/>
        <w:jc w:val="both"/>
        <w:rPr>
          <w:rFonts w:ascii="Times New Roman" w:hAnsi="Times New Roman" w:cs="Calibri" w:cstheme="minorHAnsi"/>
          <w:b/>
          <w:bCs/>
          <w:color w:val="000000"/>
          <w:sz w:val="24"/>
          <w:szCs w:val="24"/>
        </w:rPr>
      </w:pPr>
      <w:r>
        <w:rPr>
          <w:rStyle w:val="Fontepargpadro"/>
          <w:rFonts w:cs="Calibri" w:ascii="Times New Roman" w:hAnsi="Times New Roman" w:cstheme="minorHAnsi"/>
          <w:b w:val="false"/>
          <w:bCs w:val="false"/>
          <w:color w:val="000000"/>
          <w:sz w:val="24"/>
          <w:szCs w:val="24"/>
          <w:u w:val="none"/>
          <w:shd w:fill="auto" w:val="clear"/>
          <w:lang w:eastAsia="en-US"/>
        </w:rPr>
        <w:t xml:space="preserve">Trata-se de estudos preliminares voltados à contratação de empresa especializada em capacitação profissional para ministrar o curso </w:t>
      </w:r>
      <w:r>
        <w:rPr>
          <w:rStyle w:val="Strong"/>
          <w:rFonts w:cs="Calibri" w:ascii="Times New Roman" w:hAnsi="Times New Roman" w:cstheme="minorHAnsi"/>
          <w:b w:val="false"/>
          <w:bCs w:val="false"/>
          <w:color w:val="000000"/>
          <w:sz w:val="24"/>
          <w:szCs w:val="24"/>
          <w:u w:val="none"/>
          <w:shd w:fill="auto" w:val="clear"/>
          <w:lang w:eastAsia="en-US"/>
        </w:rPr>
        <w:t>“Gestão e Fiscalização de Contratos, Licitações e Governança Pública”</w:t>
      </w:r>
      <w:r>
        <w:rPr>
          <w:rStyle w:val="Fontepargpadro"/>
          <w:rFonts w:cs="Calibri" w:ascii="Times New Roman" w:hAnsi="Times New Roman" w:cstheme="minorHAnsi"/>
          <w:b w:val="false"/>
          <w:bCs w:val="false"/>
          <w:color w:val="000000"/>
          <w:sz w:val="24"/>
          <w:szCs w:val="24"/>
          <w:u w:val="none"/>
          <w:shd w:fill="auto" w:val="clear"/>
          <w:lang w:eastAsia="en-US"/>
        </w:rPr>
        <w:t>.</w:t>
      </w:r>
    </w:p>
    <w:p>
      <w:pPr>
        <w:pStyle w:val="BodyText"/>
        <w:widowControl/>
        <w:suppressAutoHyphens w:val="true"/>
        <w:overflowPunct w:val="true"/>
        <w:bidi w:val="0"/>
        <w:spacing w:lineRule="auto" w:line="276" w:before="0" w:after="0"/>
        <w:ind w:firstLine="1077" w:left="0" w:right="0"/>
        <w:jc w:val="both"/>
        <w:rPr>
          <w:rFonts w:ascii="Times New Roman" w:hAnsi="Times New Roman" w:cs="Calibri" w:cstheme="minorHAnsi"/>
          <w:b w:val="false"/>
          <w:bCs w:val="false"/>
          <w:color w:val="000000"/>
          <w:lang w:eastAsia="en-US"/>
        </w:rPr>
      </w:pPr>
      <w:r>
        <w:rPr>
          <w:rFonts w:cs="Calibri" w:ascii="Times New Roman" w:hAnsi="Times New Roman" w:cstheme="minorHAnsi"/>
          <w:b w:val="false"/>
          <w:bCs w:val="false"/>
          <w:color w:val="000000"/>
          <w:lang w:eastAsia="en-US"/>
        </w:rPr>
        <w:t>A iniciativa atende à necessidade de qualificação contínua dos vereadores da Câmara Municipal, especialmente diante das crescentes exigências por responsabilidade, transparência, domínio da legislação e atuação eficiente na gestão pública.</w:t>
      </w:r>
    </w:p>
    <w:p>
      <w:pPr>
        <w:pStyle w:val="BodyText"/>
        <w:widowControl/>
        <w:suppressAutoHyphens w:val="true"/>
        <w:overflowPunct w:val="true"/>
        <w:bidi w:val="0"/>
        <w:spacing w:lineRule="auto" w:line="276" w:before="0" w:after="0"/>
        <w:ind w:firstLine="1077" w:left="0" w:right="0"/>
        <w:jc w:val="both"/>
        <w:rPr>
          <w:rFonts w:ascii="Times New Roman" w:hAnsi="Times New Roman" w:cs="Calibri" w:cstheme="minorHAnsi"/>
          <w:b/>
          <w:bCs/>
          <w:color w:val="000000"/>
          <w:lang w:eastAsia="en-US"/>
        </w:rPr>
      </w:pPr>
      <w:r>
        <w:rPr>
          <w:rFonts w:cs="Calibri" w:ascii="Times New Roman" w:hAnsi="Times New Roman" w:cstheme="minorHAnsi"/>
          <w:b w:val="false"/>
          <w:bCs w:val="false"/>
          <w:color w:val="000000"/>
          <w:lang w:eastAsia="en-US"/>
        </w:rPr>
        <w:t xml:space="preserve">O conteúdo programático contempla temas essenciais como </w:t>
      </w:r>
      <w:r>
        <w:rPr>
          <w:rStyle w:val="Strong"/>
          <w:rFonts w:cs="Calibri" w:ascii="Times New Roman" w:hAnsi="Times New Roman" w:cstheme="minorHAnsi"/>
          <w:b w:val="false"/>
          <w:bCs w:val="false"/>
          <w:color w:val="000000"/>
          <w:lang w:eastAsia="en-US"/>
        </w:rPr>
        <w:t>gestão e fiscalização de contratos e convênios, práticas eficientes em licitações e contratos, aspectos legais do impeachment e das comissões processantes, atendimento ao público, lei do saneamento básico e suas aplicações práticas, compras públicas e estratégias de dispensa, compliance e transparência, auditoria e controle governamental, direito administrativo e políticas públicas, além de inovação em gestão pública e governança</w:t>
      </w:r>
      <w:r>
        <w:rPr>
          <w:rFonts w:cs="Calibri" w:ascii="Times New Roman" w:hAnsi="Times New Roman" w:cstheme="minorHAnsi"/>
          <w:b w:val="false"/>
          <w:bCs w:val="false"/>
          <w:color w:val="000000"/>
          <w:lang w:eastAsia="en-US"/>
        </w:rPr>
        <w:t>.</w:t>
      </w:r>
    </w:p>
    <w:p>
      <w:pPr>
        <w:pStyle w:val="BodyText"/>
        <w:widowControl/>
        <w:suppressAutoHyphens w:val="true"/>
        <w:overflowPunct w:val="true"/>
        <w:bidi w:val="0"/>
        <w:spacing w:lineRule="auto" w:line="276" w:before="0" w:after="0"/>
        <w:ind w:firstLine="1077" w:left="0" w:right="0"/>
        <w:jc w:val="both"/>
        <w:rPr>
          <w:rFonts w:ascii="Times New Roman" w:hAnsi="Times New Roman" w:cs="Calibri" w:cstheme="minorHAnsi"/>
          <w:b/>
          <w:bCs/>
          <w:color w:val="000000"/>
          <w:lang w:eastAsia="en-US"/>
        </w:rPr>
      </w:pPr>
      <w:r>
        <w:rPr>
          <w:rFonts w:cs="Calibri" w:ascii="Times New Roman" w:hAnsi="Times New Roman" w:cstheme="minorHAnsi"/>
          <w:b w:val="false"/>
          <w:bCs w:val="false"/>
          <w:color w:val="000000"/>
          <w:lang w:eastAsia="en-US"/>
        </w:rPr>
        <w:t xml:space="preserve">A capacitação contribuirá para </w:t>
      </w:r>
      <w:r>
        <w:rPr>
          <w:rStyle w:val="Strong"/>
          <w:rFonts w:cs="Calibri" w:ascii="Times New Roman" w:hAnsi="Times New Roman" w:cstheme="minorHAnsi"/>
          <w:b w:val="false"/>
          <w:bCs w:val="false"/>
          <w:color w:val="000000"/>
          <w:lang w:eastAsia="en-US"/>
        </w:rPr>
        <w:t>decisões mais seguras, fortalecimento da atuação legislativa, aprimoramento do controle e fiscalização dos atos administrativos, melhor aplicação dos recursos públicos e desenvolvimento institucional da Câmara</w:t>
      </w:r>
      <w:r>
        <w:rPr>
          <w:rFonts w:cs="Calibri" w:ascii="Times New Roman" w:hAnsi="Times New Roman" w:cstheme="minorHAnsi"/>
          <w:b w:val="false"/>
          <w:bCs w:val="false"/>
          <w:color w:val="000000"/>
          <w:lang w:eastAsia="en-US"/>
        </w:rPr>
        <w:t>.</w:t>
      </w:r>
    </w:p>
    <w:p>
      <w:pPr>
        <w:pStyle w:val="BodyText"/>
        <w:widowControl/>
        <w:suppressAutoHyphens w:val="true"/>
        <w:overflowPunct w:val="true"/>
        <w:bidi w:val="0"/>
        <w:spacing w:lineRule="auto" w:line="276" w:before="0" w:after="0"/>
        <w:ind w:firstLine="1077" w:left="0" w:right="0"/>
        <w:jc w:val="both"/>
        <w:rPr>
          <w:rFonts w:ascii="Times New Roman" w:hAnsi="Times New Roman" w:cs="Calibri" w:cstheme="minorHAnsi"/>
          <w:b w:val="false"/>
          <w:bCs w:val="false"/>
          <w:color w:val="000000"/>
          <w:lang w:eastAsia="en-US"/>
        </w:rPr>
      </w:pPr>
      <w:r>
        <w:rPr>
          <w:rFonts w:cs="Calibri" w:ascii="Times New Roman" w:hAnsi="Times New Roman" w:cstheme="minorHAnsi"/>
          <w:b w:val="false"/>
          <w:bCs w:val="false"/>
          <w:color w:val="000000"/>
          <w:lang w:eastAsia="en-US"/>
        </w:rPr>
        <w:t>Por essa razão, a contratação visa atender à capacitação do seguinte vereador:</w:t>
      </w:r>
    </w:p>
    <w:p>
      <w:pPr>
        <w:pStyle w:val="BodyText"/>
        <w:numPr>
          <w:ilvl w:val="0"/>
          <w:numId w:val="3"/>
        </w:numPr>
        <w:tabs>
          <w:tab w:val="clear" w:pos="709"/>
          <w:tab w:val="left" w:pos="0" w:leader="none"/>
        </w:tabs>
        <w:spacing w:lineRule="auto" w:line="276" w:before="0" w:after="283"/>
        <w:ind w:hanging="283" w:left="709"/>
        <w:rPr>
          <w:rFonts w:ascii="Times New Roman" w:hAnsi="Times New Roman" w:cs="Calibri" w:cstheme="minorHAnsi"/>
          <w:b/>
          <w:bCs/>
          <w:color w:val="000000"/>
        </w:rPr>
      </w:pPr>
      <w:r>
        <w:rPr>
          <w:rStyle w:val="Strong"/>
          <w:rFonts w:cs="Calibri" w:ascii="Times New Roman" w:hAnsi="Times New Roman" w:cstheme="minorHAnsi"/>
          <w:color w:val="000000"/>
          <w:lang w:eastAsia="en-US"/>
        </w:rPr>
        <w:t>Dauri Morgenstern</w:t>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Style w:val="Strong"/>
          <w:rFonts w:cs="Calibri" w:ascii="Times New Roman" w:hAnsi="Times New Roman" w:cstheme="minorHAnsi"/>
          <w:b w:val="false"/>
          <w:bCs w:val="false"/>
          <w:sz w:val="24"/>
          <w:szCs w:val="24"/>
        </w:rPr>
        <w:t>3.1.</w:t>
      </w:r>
      <w:r>
        <w:rPr>
          <w:rFonts w:cs="Calibri" w:ascii="Times New Roman" w:hAnsi="Times New Roman" w:cstheme="minorHAnsi"/>
          <w:b w:val="false"/>
          <w:bCs w:val="false"/>
          <w:sz w:val="24"/>
          <w:szCs w:val="24"/>
        </w:rPr>
        <w:t xml:space="preserve"> Os requisitos da contratação abrangem o seguinte:</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3.1.1.</w:t>
      </w:r>
      <w:r>
        <w:rPr>
          <w:rFonts w:cs="Calibri" w:ascii="Times New Roman" w:hAnsi="Times New Roman" w:cstheme="minorHAnsi"/>
          <w:b w:val="false"/>
          <w:bCs w:val="false"/>
        </w:rPr>
        <w:t xml:space="preserve"> Conteúdo programático compatível com as necessidades de capacitação técnica e institucional dos vereadores da Câmara Municipal, incluindo temas como: </w:t>
      </w:r>
      <w:r>
        <w:rPr>
          <w:rStyle w:val="Strong"/>
          <w:rFonts w:cs="Calibri" w:ascii="Times New Roman" w:hAnsi="Times New Roman" w:cstheme="minorHAnsi"/>
          <w:b w:val="false"/>
          <w:bCs w:val="false"/>
        </w:rPr>
        <w:t>gestão e fiscalização de contratos e convênios; práticas eficientes em licitações e contratos; aspectos legais do impeachment e comissões processantes; atendimento ao público e protocolos; Lei do Saneamento Básico e suas aplicações práticas; compras públicas, estratégias e dispensas; compliance e transparência; auditoria e controle governamental; direito administrativo e políticas públicas; e inovação em gestão pública e governança.</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3.1.2.</w:t>
      </w:r>
      <w:r>
        <w:rPr>
          <w:rFonts w:cs="Calibri" w:ascii="Times New Roman" w:hAnsi="Times New Roman" w:cstheme="minorHAnsi"/>
          <w:b w:val="false"/>
          <w:bCs w:val="false"/>
        </w:rPr>
        <w:t xml:space="preserve"> O curso deverá proporcionar abordagem teórica e prática, com participação ativa dos inscritos, oportunizando o esclarecimento de dúvidas e a discussão de casos reais, contribuindo diretamente para a qualificação técnica dos vereadores nas atividades de planejamento, condução, fiscalização e controle de atos administrativos e processos licitatórios.</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3.1.3.</w:t>
      </w:r>
      <w:r>
        <w:rPr>
          <w:rFonts w:cs="Calibri" w:ascii="Times New Roman" w:hAnsi="Times New Roman" w:cstheme="minorHAnsi"/>
          <w:b w:val="false"/>
          <w:bCs w:val="false"/>
        </w:rPr>
        <w:t xml:space="preserve"> O curso deverá ser ministrado por profissional ou empresa com </w:t>
      </w:r>
      <w:r>
        <w:rPr>
          <w:rStyle w:val="Strong"/>
          <w:rFonts w:cs="Calibri" w:ascii="Times New Roman" w:hAnsi="Times New Roman" w:cstheme="minorHAnsi"/>
          <w:b w:val="false"/>
          <w:bCs w:val="false"/>
        </w:rPr>
        <w:t>notória especialização em gestão pública, licitações e contratos administrativos, governança, controle e aplicação da Lei nº 14.133/2021</w:t>
      </w:r>
      <w:r>
        <w:rPr>
          <w:rFonts w:cs="Calibri" w:ascii="Times New Roman" w:hAnsi="Times New Roman" w:cstheme="minorHAnsi"/>
          <w:b w:val="false"/>
          <w:bCs w:val="false"/>
        </w:rPr>
        <w:t>, além de experiência comprovada em capacitação de agentes públicos.</w:t>
      </w:r>
    </w:p>
    <w:p>
      <w:pPr>
        <w:pStyle w:val="BodyText"/>
        <w:spacing w:lineRule="auto" w:line="276" w:before="0" w:after="283"/>
        <w:rPr>
          <w:rFonts w:ascii="Times New Roman" w:hAnsi="Times New Roman" w:cs="Calibri" w:cstheme="minorHAnsi"/>
        </w:rPr>
      </w:pPr>
      <w:r>
        <w:rPr>
          <w:rStyle w:val="Strong"/>
          <w:rFonts w:cs="Calibri" w:ascii="Times New Roman" w:hAnsi="Times New Roman" w:cstheme="minorHAnsi"/>
          <w:b w:val="false"/>
          <w:bCs w:val="false"/>
        </w:rPr>
        <w:t>3.1.4.</w:t>
      </w:r>
      <w:r>
        <w:rPr>
          <w:rFonts w:cs="Calibri" w:ascii="Times New Roman" w:hAnsi="Times New Roman" w:cstheme="minorHAnsi"/>
          <w:b w:val="false"/>
          <w:bCs w:val="false"/>
        </w:rPr>
        <w:t xml:space="preserve"> Não será permitida a subcontratação do objeto contratual.</w:t>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w:t>
      </w:r>
      <w:r>
        <w:rPr>
          <w:rFonts w:cs="Calibri" w:cstheme="minorHAnsi"/>
          <w:sz w:val="24"/>
          <w:szCs w:val="24"/>
        </w:rPr>
        <w:t>e da Administração</w:t>
      </w:r>
      <w:r>
        <w:rPr>
          <w:rFonts w:cs="Calibri" w:cstheme="minorHAnsi"/>
          <w:sz w:val="24"/>
          <w:szCs w:val="24"/>
        </w:rPr>
        <w:t xml:space="preserve">, razão pela qual, no presente curso, indica-se a capacitação da seguinte quantidade de vereadores: </w:t>
      </w:r>
    </w:p>
    <w:tbl>
      <w:tblPr>
        <w:tblStyle w:val="Tabelacomgrade"/>
        <w:tblW w:w="9472" w:type="dxa"/>
        <w:jc w:val="left"/>
        <w:tblInd w:w="3" w:type="dxa"/>
        <w:tblLayout w:type="fixed"/>
        <w:tblCellMar>
          <w:top w:w="0" w:type="dxa"/>
          <w:left w:w="108" w:type="dxa"/>
          <w:bottom w:w="0" w:type="dxa"/>
          <w:right w:w="108" w:type="dxa"/>
        </w:tblCellMar>
        <w:tblLook w:firstRow="1" w:noVBand="1" w:lastRow="0" w:firstColumn="1" w:lastColumn="0" w:noHBand="0" w:val="04a0"/>
      </w:tblPr>
      <w:tblGrid>
        <w:gridCol w:w="731"/>
        <w:gridCol w:w="4874"/>
        <w:gridCol w:w="977"/>
        <w:gridCol w:w="2889"/>
      </w:tblGrid>
      <w:tr>
        <w:trPr>
          <w:trHeight w:val="394" w:hRule="atLeast"/>
        </w:trPr>
        <w:tc>
          <w:tcPr>
            <w:tcW w:w="731" w:type="dxa"/>
            <w:tcBorders/>
          </w:tcPr>
          <w:p>
            <w:pPr>
              <w:pStyle w:val="Normal"/>
              <w:widowControl/>
              <w:suppressAutoHyphens w:val="true"/>
              <w:spacing w:lineRule="auto" w:line="276" w:before="0" w:after="0"/>
              <w:jc w:val="both"/>
              <w:rPr>
                <w:sz w:val="20"/>
                <w:szCs w:val="20"/>
              </w:rPr>
            </w:pPr>
            <w:r>
              <w:rPr>
                <w:rFonts w:eastAsia="Calibri" w:cs="Calibri" w:cstheme="minorHAnsi"/>
                <w:b/>
                <w:bCs/>
                <w:kern w:val="2"/>
                <w:sz w:val="20"/>
                <w:szCs w:val="20"/>
                <w:lang w:val="pt-BR" w:eastAsia="en-US" w:bidi="ar-SA"/>
              </w:rPr>
              <w:t>Item</w:t>
            </w:r>
          </w:p>
        </w:tc>
        <w:tc>
          <w:tcPr>
            <w:tcW w:w="4874" w:type="dxa"/>
            <w:tcBorders/>
          </w:tcPr>
          <w:p>
            <w:pPr>
              <w:pStyle w:val="Normal"/>
              <w:widowControl/>
              <w:suppressAutoHyphens w:val="true"/>
              <w:spacing w:lineRule="auto" w:line="276" w:before="0" w:after="0"/>
              <w:jc w:val="both"/>
              <w:rPr>
                <w:sz w:val="20"/>
                <w:szCs w:val="20"/>
              </w:rPr>
            </w:pPr>
            <w:r>
              <w:rPr>
                <w:rFonts w:eastAsia="Calibri" w:cs="Calibri" w:cstheme="minorHAnsi"/>
                <w:b/>
                <w:bCs/>
                <w:kern w:val="2"/>
                <w:sz w:val="20"/>
                <w:szCs w:val="20"/>
                <w:lang w:val="pt-BR" w:eastAsia="en-US" w:bidi="ar-SA"/>
              </w:rPr>
              <w:t>Especificação</w:t>
            </w:r>
          </w:p>
        </w:tc>
        <w:tc>
          <w:tcPr>
            <w:tcW w:w="977" w:type="dxa"/>
            <w:tcBorders/>
          </w:tcPr>
          <w:p>
            <w:pPr>
              <w:pStyle w:val="Normal"/>
              <w:widowControl/>
              <w:suppressAutoHyphens w:val="true"/>
              <w:spacing w:lineRule="auto" w:line="276" w:before="0" w:after="0"/>
              <w:jc w:val="both"/>
              <w:rPr>
                <w:sz w:val="20"/>
                <w:szCs w:val="20"/>
              </w:rPr>
            </w:pPr>
            <w:r>
              <w:rPr>
                <w:rFonts w:eastAsia="Calibri" w:cs="Calibri" w:cstheme="minorHAnsi"/>
                <w:b/>
                <w:bCs/>
                <w:kern w:val="2"/>
                <w:sz w:val="20"/>
                <w:szCs w:val="20"/>
                <w:lang w:val="pt-BR" w:eastAsia="en-US" w:bidi="ar-SA"/>
              </w:rPr>
              <w:t>QUANT.</w:t>
            </w:r>
          </w:p>
        </w:tc>
        <w:tc>
          <w:tcPr>
            <w:tcW w:w="2889" w:type="dxa"/>
            <w:tcBorders/>
          </w:tcPr>
          <w:p>
            <w:pPr>
              <w:pStyle w:val="Normal"/>
              <w:widowControl/>
              <w:suppressAutoHyphens w:val="true"/>
              <w:spacing w:lineRule="auto" w:line="276" w:before="0" w:after="0"/>
              <w:jc w:val="center"/>
              <w:rPr>
                <w:sz w:val="20"/>
                <w:szCs w:val="20"/>
              </w:rPr>
            </w:pPr>
            <w:r>
              <w:rPr>
                <w:rFonts w:eastAsia="Calibri" w:cs="Calibri" w:cstheme="minorHAnsi"/>
                <w:b/>
                <w:bCs/>
                <w:kern w:val="2"/>
                <w:sz w:val="20"/>
                <w:szCs w:val="20"/>
                <w:lang w:val="pt-BR" w:eastAsia="en-US" w:bidi="ar-SA"/>
              </w:rPr>
              <w:t>NOME DOS VEREADORES</w:t>
            </w:r>
          </w:p>
        </w:tc>
      </w:tr>
      <w:tr>
        <w:trPr/>
        <w:tc>
          <w:tcPr>
            <w:tcW w:w="731"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874"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Inscrição no curso</w:t>
            </w:r>
            <w:r>
              <w:rPr>
                <w:rStyle w:val="Fontepargpadro"/>
                <w:rFonts w:eastAsia="Calibri" w:cs="Times New Roman"/>
                <w:b/>
                <w:bCs w:val="false"/>
                <w:i w:val="false"/>
                <w:iCs w:val="false"/>
                <w:caps w:val="false"/>
                <w:smallCaps w:val="false"/>
                <w:color w:val="000000"/>
                <w:spacing w:val="0"/>
                <w:w w:val="115"/>
                <w:kern w:val="0"/>
                <w:sz w:val="20"/>
                <w:szCs w:val="20"/>
                <w:u w:val="none"/>
                <w:shd w:fill="auto" w:val="clear"/>
                <w:lang w:val="pt-BR" w:eastAsia="ar-SA" w:bidi="ar-SA"/>
              </w:rPr>
              <w:t xml:space="preserve"> </w:t>
            </w:r>
            <w:r>
              <w:rPr>
                <w:rStyle w:val="Strong"/>
                <w:rFonts w:eastAsia="Calibri" w:cs="Times New Roman"/>
                <w:i w:val="false"/>
                <w:iCs w:val="false"/>
                <w:caps w:val="false"/>
                <w:smallCaps w:val="false"/>
                <w:color w:val="000000"/>
                <w:spacing w:val="0"/>
                <w:w w:val="115"/>
                <w:kern w:val="0"/>
                <w:sz w:val="20"/>
                <w:szCs w:val="20"/>
                <w:u w:val="none"/>
                <w:shd w:fill="auto" w:val="clear"/>
                <w:lang w:val="pt-BR" w:eastAsia="ar-SA" w:bidi="ar-SA"/>
              </w:rPr>
              <w:t>Gestão e Fiscalização Avançada: Licitações, Contratos e Governança Eficiente</w:t>
            </w:r>
          </w:p>
        </w:tc>
        <w:tc>
          <w:tcPr>
            <w:tcW w:w="977"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1</w:t>
            </w:r>
          </w:p>
        </w:tc>
        <w:tc>
          <w:tcPr>
            <w:tcW w:w="2889" w:type="dxa"/>
            <w:tcBorders/>
          </w:tcPr>
          <w:p>
            <w:pPr>
              <w:pStyle w:val="BodyText"/>
              <w:widowControl/>
              <w:numPr>
                <w:ilvl w:val="0"/>
                <w:numId w:val="0"/>
              </w:numPr>
              <w:tabs>
                <w:tab w:val="clear" w:pos="709"/>
                <w:tab w:val="left" w:pos="0" w:leader="none"/>
              </w:tabs>
              <w:suppressAutoHyphens w:val="true"/>
              <w:overflowPunct w:val="true"/>
              <w:bidi w:val="0"/>
              <w:spacing w:lineRule="auto" w:line="276" w:before="0" w:after="0"/>
              <w:ind w:hanging="0" w:left="170" w:right="227"/>
              <w:jc w:val="both"/>
              <w:rPr/>
            </w:pPr>
            <w:r>
              <w:rPr>
                <w:rStyle w:val="Strong"/>
                <w:rFonts w:cs="Calibri" w:ascii="Times New Roman" w:hAnsi="Times New Roman" w:cstheme="minorHAnsi"/>
                <w:b w:val="false"/>
                <w:bCs w:val="false"/>
                <w:sz w:val="20"/>
                <w:szCs w:val="20"/>
                <w:shd w:fill="auto" w:val="clear"/>
                <w:lang w:eastAsia="en-US"/>
              </w:rPr>
              <w:t>Dauri Morgenstern</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vereador da Câmara Municipal de Três Passos-RS no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w:t>
        <w:br/>
        <w:t>Licitações, Contratos e Governança Eficiente</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cs="Calibri"/>
          <w:b w:val="false"/>
          <w:bCs w:val="false"/>
          <w:strike w:val="false"/>
          <w:dstrike w:val="false"/>
          <w:color w:val="000000"/>
          <w:sz w:val="24"/>
          <w:szCs w:val="24"/>
          <w:u w:val="none"/>
          <w:effect w:val="none"/>
          <w:shd w:fill="auto" w:val="clear"/>
          <w:lang w:eastAsia="en-US"/>
        </w:rPr>
        <w:t>” no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tru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tru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tru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R$1.390,00 (mil trezentos e noventa reais)</w:t>
      </w:r>
      <w:r>
        <w:rPr/>
        <w:t>, referente à realização do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w:t>
        <w:br/>
        <w:t>Licitações, Contratos e Governança Eficiente</w:t>
      </w:r>
      <w:r>
        <w:rPr/>
        <w:t>” em formato presencial no município de Porto Alegre-RS.</w:t>
      </w:r>
    </w:p>
    <w:p>
      <w:pPr>
        <w:pStyle w:val="Normal"/>
        <w:jc w:val="both"/>
        <w:rPr>
          <w:highlight w:val="none"/>
          <w:shd w:fill="auto" w:val="clear"/>
        </w:rPr>
      </w:pPr>
      <w:r>
        <w:rPr>
          <w:shd w:fill="auto" w:val="clear"/>
        </w:rPr>
        <w:t>6.3. A Empresa Contratada comprovou por meio de documentos que o preço praticado encontra-se dentro do valor do mercado, conforme notas fiscais dos Municípios de Sede Nova/RS, Pinheiro do Vale/RS e Boa Vista do Cadeado/RS, anexas ao processo.</w:t>
      </w:r>
    </w:p>
    <w:p>
      <w:pPr>
        <w:pStyle w:val="Normal"/>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jc w:val="both"/>
        <w:rPr>
          <w:rFonts w:ascii="Times New Roman" w:hAnsi="Times New Roman"/>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w:t>
      </w:r>
      <w:r>
        <w:rPr>
          <w:rStyle w:val="Fontepargpadro"/>
          <w:rFonts w:cs="Calibri" w:cstheme="minorHAnsi"/>
          <w:b w:val="false"/>
          <w:bCs w:val="false"/>
          <w:sz w:val="24"/>
          <w:szCs w:val="24"/>
          <w:lang w:eastAsia="en-US"/>
        </w:rPr>
        <w:t>Para a presente contratação, optou-se pela realização de curso presencial ministrado no município de Porto Alegre-RS, com o objetivo de capacitar os vereadores da Câmara Municipal no tema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Fontepargpadro"/>
          <w:rFonts w:cs="Calibri" w:cstheme="minorHAnsi"/>
          <w:b w:val="false"/>
          <w:bCs w:val="false"/>
          <w:sz w:val="24"/>
          <w:szCs w:val="24"/>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por 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rFonts w:ascii="Times New Roman" w:hAnsi="Times New Roman" w:cs="Calibri" w:cstheme="minorHAnsi"/>
          <w:lang w:eastAsia="en-US"/>
        </w:rPr>
      </w:pPr>
      <w:r>
        <w:rPr>
          <w:rFonts w:cs="Calibri" w:ascii="Times New Roman" w:hAnsi="Times New Roman" w:cstheme="minorHAnsi"/>
          <w:b w:val="false"/>
          <w:bCs w:val="false"/>
          <w:sz w:val="24"/>
          <w:szCs w:val="24"/>
          <w:lang w:eastAsia="en-US"/>
        </w:rPr>
        <w:t xml:space="preserve">7.5. </w:t>
      </w:r>
      <w:r>
        <w:rPr>
          <w:rFonts w:cs="Calibri" w:ascii="Times New Roman" w:hAnsi="Times New Roman" w:cstheme="minorHAnsi"/>
          <w:lang w:eastAsia="en-US"/>
        </w:rPr>
        <w:t xml:space="preserve">A escolha da empresa </w:t>
      </w:r>
      <w:r>
        <w:rPr>
          <w:rStyle w:val="Strong"/>
          <w:rFonts w:cs="Calibri" w:ascii="Times New Roman" w:hAnsi="Times New Roman" w:cstheme="minorHAnsi"/>
          <w:lang w:eastAsia="en-US"/>
        </w:rPr>
        <w:t>ICAGES – KELI LETICIA BIGUELINI LTDA</w:t>
      </w:r>
      <w:r>
        <w:rPr>
          <w:rFonts w:cs="Calibri" w:ascii="Times New Roman" w:hAnsi="Times New Roman" w:cstheme="minorHAnsi"/>
          <w:lang w:eastAsia="en-US"/>
        </w:rPr>
        <w:t xml:space="preserve"> se justifica pela qualidade do seu portfólio e pela experiência de sua equipe na capacitação de agentes públicos. A instituição atua com foco em gestão pública, planejamento, controle, legislação e capacitações voltadas ao fortalecimento institucional do setor público, especialmente no âmbito do Poder Legislativo. O ICAGES oferece cursos com abordagem atualizada sobre temas como administração pública, licitações, improbidade, controle externo, captação de recursos e práticas de governança, ministrados por profissionais especializados e com sólida experiência na área. </w:t>
      </w:r>
    </w:p>
    <w:p>
      <w:pPr>
        <w:pStyle w:val="BodyText"/>
        <w:spacing w:lineRule="auto" w:line="276" w:before="57" w:after="57"/>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01 (um)</w:t>
      </w:r>
      <w:r>
        <w:rPr>
          <w:rFonts w:cs="Calibri" w:cstheme="minorHAnsi"/>
          <w:color w:val="000000"/>
          <w:sz w:val="24"/>
          <w:szCs w:val="24"/>
          <w:shd w:fill="auto" w:val="clear"/>
        </w:rPr>
        <w:t xml:space="preserve"> vereador</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widowControl/>
        <w:suppressAutoHyphens w:val="true"/>
        <w:overflowPunct w:val="true"/>
        <w:bidi w:val="0"/>
        <w:spacing w:lineRule="auto" w:line="276"/>
        <w:ind w:firstLine="794" w:left="0" w:right="0"/>
        <w:jc w:val="both"/>
        <w:rPr/>
      </w:pPr>
      <w:r>
        <w:rPr>
          <w:rStyle w:val="Hyperlink"/>
          <w:rFonts w:cs="Times New Roman" w:ascii="Times New Roman" w:hAnsi="Times New Roman"/>
          <w:b w:val="false"/>
          <w:bCs w:val="false"/>
          <w:color w:val="000000"/>
          <w:u w:val="none"/>
          <w:shd w:fill="auto" w:val="clear"/>
          <w:lang w:val="pt-BR" w:eastAsia="ar-SA" w:bidi="ar-SA"/>
        </w:rPr>
        <w:t>Pretende-se, com a presente contratação, promover a capacitação do vereador da Câmara Municipal de Três Passos, contribuindo para o fortalecimento técnico e institucional do Poder Legislativo em temas centrais da gestão pública contemporânea.</w:t>
      </w:r>
    </w:p>
    <w:p>
      <w:pPr>
        <w:pStyle w:val="BodyText"/>
        <w:widowControl/>
        <w:suppressAutoHyphens w:val="true"/>
        <w:overflowPunct w:val="true"/>
        <w:bidi w:val="0"/>
        <w:spacing w:lineRule="auto" w:line="276" w:before="0" w:after="0"/>
        <w:ind w:firstLine="794" w:left="0" w:right="0"/>
        <w:jc w:val="both"/>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 base na programação do curso </w:t>
      </w:r>
      <w:r>
        <w:rPr>
          <w:rStyle w:val="Strong"/>
          <w:rFonts w:cs="Times New Roman" w:ascii="Times New Roman" w:hAnsi="Times New Roman"/>
          <w:b w:val="false"/>
          <w:bCs w:val="false"/>
          <w:color w:val="000000"/>
          <w:lang w:eastAsia="ar-SA"/>
        </w:rPr>
        <w:t>“Gestão e Fiscalização de Contratos, Licitações e Governança Pública”</w:t>
      </w:r>
      <w:r>
        <w:rPr>
          <w:rFonts w:cs="Times New Roman" w:ascii="Times New Roman" w:hAnsi="Times New Roman"/>
          <w:b w:val="false"/>
          <w:bCs w:val="false"/>
          <w:color w:val="000000"/>
          <w:lang w:eastAsia="ar-SA"/>
        </w:rPr>
        <w:t xml:space="preserve">, espera-se o aprimoramento das competências relacionadas à </w:t>
      </w:r>
      <w:r>
        <w:rPr>
          <w:rStyle w:val="Strong"/>
          <w:rFonts w:cs="Times New Roman" w:ascii="Times New Roman" w:hAnsi="Times New Roman"/>
          <w:b w:val="false"/>
          <w:bCs w:val="false"/>
          <w:color w:val="000000"/>
          <w:lang w:eastAsia="ar-SA"/>
        </w:rPr>
        <w:t>gestão e fiscalização de contratos e convênios, práticas eficientes em licitações e contratos, aspectos legais do impeachment e comissões processantes, atendimento ao público e protocolos, Lei do Saneamento Básico e suas aplicações práticas, compras públicas, compliance e transparência, auditoria e controle governamental, direito administrativo e políticas públicas, além da inovação em gestão pública e governança</w:t>
      </w:r>
      <w:r>
        <w:rPr>
          <w:rFonts w:cs="Times New Roman" w:ascii="Times New Roman" w:hAnsi="Times New Roman"/>
          <w:b w:val="false"/>
          <w:bCs w:val="false"/>
          <w:color w:val="000000"/>
          <w:lang w:eastAsia="ar-SA"/>
        </w:rPr>
        <w:t>.</w:t>
      </w:r>
    </w:p>
    <w:p>
      <w:pPr>
        <w:pStyle w:val="BodyText"/>
        <w:widowControl/>
        <w:suppressAutoHyphens w:val="true"/>
        <w:overflowPunct w:val="true"/>
        <w:bidi w:val="0"/>
        <w:spacing w:lineRule="auto" w:line="276" w:before="0" w:after="0"/>
        <w:ind w:firstLine="794" w:left="0" w:right="0"/>
        <w:jc w:val="both"/>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Espera-se ainda estimular a </w:t>
      </w:r>
      <w:r>
        <w:rPr>
          <w:rStyle w:val="Strong"/>
          <w:rFonts w:cs="Times New Roman" w:ascii="Times New Roman" w:hAnsi="Times New Roman"/>
          <w:b w:val="false"/>
          <w:bCs w:val="false"/>
          <w:color w:val="000000"/>
          <w:lang w:eastAsia="ar-SA"/>
        </w:rPr>
        <w:t>troca de experiências com outros agentes públicos e especialistas da área</w:t>
      </w:r>
      <w:r>
        <w:rPr>
          <w:rFonts w:cs="Times New Roman" w:ascii="Times New Roman" w:hAnsi="Times New Roman"/>
          <w:b w:val="false"/>
          <w:bCs w:val="false"/>
          <w:color w:val="000000"/>
          <w:lang w:eastAsia="ar-SA"/>
        </w:rPr>
        <w:t xml:space="preserve">, favorecendo a consolidação de boas práticas legislativas e o aperfeiçoamento dos mecanismos de </w:t>
      </w:r>
      <w:r>
        <w:rPr>
          <w:rStyle w:val="Strong"/>
          <w:rFonts w:cs="Times New Roman" w:ascii="Times New Roman" w:hAnsi="Times New Roman"/>
          <w:b w:val="false"/>
          <w:bCs w:val="false"/>
          <w:color w:val="000000"/>
          <w:lang w:eastAsia="ar-SA"/>
        </w:rPr>
        <w:t>controle, transparência e eficiência no âmbito do Legislativo</w:t>
      </w:r>
      <w:r>
        <w:rPr>
          <w:rFonts w:cs="Times New Roman" w:ascii="Times New Roman" w:hAnsi="Times New Roman"/>
          <w:b w:val="false"/>
          <w:bCs w:val="false"/>
          <w:color w:val="000000"/>
          <w:lang w:eastAsia="ar-SA"/>
        </w:rPr>
        <w:t>.</w:t>
      </w:r>
    </w:p>
    <w:p>
      <w:pPr>
        <w:pStyle w:val="BodyText"/>
        <w:widowControl/>
        <w:suppressAutoHyphens w:val="true"/>
        <w:overflowPunct w:val="true"/>
        <w:bidi w:val="0"/>
        <w:spacing w:lineRule="auto" w:line="276" w:before="0" w:after="283"/>
        <w:ind w:firstLine="794" w:left="0" w:right="0"/>
        <w:jc w:val="both"/>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Como resultado, almeja-se uma </w:t>
      </w:r>
      <w:r>
        <w:rPr>
          <w:rStyle w:val="Strong"/>
          <w:rFonts w:cs="Times New Roman" w:ascii="Times New Roman" w:hAnsi="Times New Roman"/>
          <w:b w:val="false"/>
          <w:bCs w:val="false"/>
          <w:color w:val="000000"/>
          <w:lang w:eastAsia="ar-SA"/>
        </w:rPr>
        <w:t>atuação mais qualificada, ética e estratégica por parte dos parlamentares</w:t>
      </w:r>
      <w:r>
        <w:rPr>
          <w:rFonts w:cs="Times New Roman" w:ascii="Times New Roman" w:hAnsi="Times New Roman"/>
          <w:b w:val="false"/>
          <w:bCs w:val="false"/>
          <w:color w:val="000000"/>
          <w:lang w:eastAsia="ar-SA"/>
        </w:rPr>
        <w:t xml:space="preserve">, com reflexos positivos na </w:t>
      </w:r>
      <w:r>
        <w:rPr>
          <w:rStyle w:val="Strong"/>
          <w:rFonts w:cs="Times New Roman" w:ascii="Times New Roman" w:hAnsi="Times New Roman"/>
          <w:b w:val="false"/>
          <w:bCs w:val="false"/>
          <w:color w:val="000000"/>
          <w:lang w:eastAsia="ar-SA"/>
        </w:rPr>
        <w:t>tomada de decisões, fiscalização dos recursos públicos e promoção do interesse coletivo</w:t>
      </w:r>
      <w:r>
        <w:rPr>
          <w:rFonts w:cs="Times New Roman" w:ascii="Times New Roman" w:hAnsi="Times New Roman"/>
          <w:b w:val="false"/>
          <w:bCs w:val="false"/>
          <w:color w:val="000000"/>
          <w:lang w:eastAsia="ar-SA"/>
        </w:rPr>
        <w:t>.</w:t>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rPr>
      </w:pPr>
      <w:r>
        <w:rPr>
          <w:rFonts w:cs="Calibri" w:cstheme="minorHAnsi"/>
          <w:b w:val="false"/>
          <w:bCs w:val="false"/>
          <w:color w:val="000000"/>
          <w:sz w:val="24"/>
          <w:szCs w:val="24"/>
          <w:shd w:fill="auto" w:val="clear"/>
        </w:rPr>
        <w:t xml:space="preserve">Deverá ser providenciado o pagamento de diárias aos vereadores,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15/9/2025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44</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w:t>
              <w:br/>
              <w:t>Licitações, Contratos e Governança Eficiente</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01</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23 a 26 de setembro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01 (um) vereador.</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BodyText"/>
        <w:spacing w:lineRule="auto" w:line="276"/>
        <w:jc w:val="both"/>
        <w:rPr>
          <w:rFonts w:ascii="Times New Roman" w:hAnsi="Times New Roman" w:cs="Calibri" w:cstheme="minorHAnsi"/>
          <w:sz w:val="24"/>
          <w:szCs w:val="24"/>
        </w:rPr>
      </w:pPr>
      <w:r>
        <w:rPr>
          <w:rFonts w:cs="Calibri" w:ascii="Times New Roman" w:hAnsi="Times New Roman" w:cstheme="minorHAnsi"/>
          <w:b w:val="false"/>
          <w:bCs w:val="false"/>
          <w:sz w:val="24"/>
          <w:szCs w:val="24"/>
        </w:rPr>
        <w:t>4.1. Os requisitos da contratação abrangem o seguinte: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4.1.1. </w:t>
      </w:r>
      <w:r>
        <w:rPr>
          <w:rFonts w:ascii="Times New Roman" w:hAnsi="Times New Roman"/>
        </w:rPr>
        <w:t xml:space="preserve">Conteúdo programático compatível com as necessidades de capacitação dos vereadores, com foco na qualificação para o exercício das funções legislativas e de fiscalização, abordando temas como: princípios da administração pública; responsabilidades do gestor público; atuação do Tribunal de Contas; Lei de Improbidade Administrativa; imunidade parlamentar; compliance e governança; instrumentos legislativos de apoio à gestão; e estratégias de captação e aplicação eficiente de recursos públicos.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4.1.2. Profissional ou empresa de notória especialização (</w:t>
      </w:r>
      <w:r>
        <w:rPr>
          <w:rStyle w:val="Strong"/>
          <w:rFonts w:cs="Calibri" w:ascii="Times New Roman" w:hAnsi="Times New Roman" w:cstheme="minorHAnsi"/>
          <w:shd w:fill="auto" w:val="clear"/>
        </w:rPr>
        <w:t>KELI LETICIA BIGUELINI LTDA CNPJ: 59.052.003/0001-11</w:t>
      </w:r>
      <w:r>
        <w:rPr>
          <w:rFonts w:cs="Calibri" w:ascii="Times New Roman" w:hAnsi="Times New Roman" w:cstheme="minorHAnsi"/>
        </w:rPr>
        <w:t>), conforme currículo anexo.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4.1.3. Não incidem critérios de sustentabilidade na presente contratação.</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4.1.4. Não é permitida a subcontratação do objeto contratual.</w:t>
      </w:r>
    </w:p>
    <w:p>
      <w:pPr>
        <w:pStyle w:val="BodyText"/>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before="57" w:after="57"/>
        <w:jc w:val="both"/>
        <w:rPr/>
      </w:pPr>
      <w:r>
        <w:rPr>
          <w:rFonts w:cs="Calibri" w:cstheme="minorHAnsi"/>
          <w:sz w:val="24"/>
          <w:szCs w:val="24"/>
        </w:rPr>
        <w:t>5.1.</w:t>
      </w:r>
      <w:r>
        <w:rPr>
          <w:color w:val="auto"/>
          <w:u w:val="none"/>
        </w:rPr>
        <w:t>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color w:val="auto"/>
          <w:sz w:val="24"/>
          <w:szCs w:val="24"/>
          <w:u w:val="none"/>
          <w:lang w:val="pt-BR" w:eastAsia="ar-SA" w:bidi="ar-SA"/>
        </w:rPr>
        <w:t>”</w:t>
      </w:r>
      <w:r>
        <w:rPr>
          <w:rStyle w:val="Hyperlink"/>
          <w:color w:val="auto"/>
          <w:u w:val="none"/>
          <w:lang w:val="pt-BR" w:eastAsia="ar-SA" w:bidi="ar-SA"/>
        </w:rPr>
        <w:t>,</w:t>
      </w:r>
      <w:r>
        <w:rPr>
          <w:color w:val="auto"/>
          <w:u w:val="none"/>
        </w:rPr>
        <w:t xml:space="preserve"> será realizado de forma presencial na cidade de Porto Alegre/RS, no período de </w:t>
      </w:r>
      <w:r>
        <w:rPr>
          <w:color w:val="000000"/>
          <w:u w:val="none"/>
          <w:shd w:fill="auto" w:val="clear"/>
        </w:rPr>
        <w:t>23 a 26 de setembro de 2025.</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rFonts w:ascii="Times New Roman" w:hAnsi="Times New Roman" w:cs="Calibri" w:cstheme="minorHAnsi"/>
          <w:b/>
          <w:bCs/>
          <w:sz w:val="24"/>
          <w:szCs w:val="24"/>
        </w:rPr>
      </w:pPr>
      <w:r>
        <w:rPr>
          <w:rStyle w:val="Strong"/>
          <w:rFonts w:cs="Calibri" w:ascii="Times New Roman" w:hAnsi="Times New Roman" w:cstheme="minorHAnsi"/>
          <w:b w:val="false"/>
          <w:bCs w:val="false"/>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rPr>
        <w:t>6.4.2.</w:t>
      </w:r>
      <w:r>
        <w:rPr>
          <w:rFonts w:cs="Calibri" w:ascii="Times New Roman" w:hAnsi="Times New Roman" w:cstheme="minorHAnsi"/>
          <w:b w:val="false"/>
          <w:bCs w:val="false"/>
        </w:rPr>
        <w:t xml:space="preserve"> Estando tudo regular, será liberada a emissão da nota fiscal para pagamento.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w:t>
      </w:r>
      <w:r>
        <w:rPr>
          <w:rFonts w:cs="Calibri"/>
          <w:b/>
          <w:bCs/>
          <w:sz w:val="24"/>
          <w:szCs w:val="24"/>
          <w:shd w:fill="auto" w:val="clear"/>
        </w:rPr>
        <w:t>1.390,00 (mil trezentos e noventa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before="0" w:after="0"/>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Strong"/>
                <w:rFonts w:eastAsia="Calibri" w:cs="Times New Roman"/>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Gestão e Fiscalização Avançada: Licitações, Contratos e Governança Eficiente</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23 a 26 de setembro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01</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R$1.390,00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R$1.390,00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b/>
                <w:bCs/>
                <w:sz w:val="24"/>
                <w:szCs w:val="24"/>
                <w:shd w:fill="auto" w:val="clear"/>
              </w:rPr>
              <w:t>R$1.390,00 (mil trezentos e noventa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15 de setembro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15 de setembro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23 a 26 de setembro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15 de setembro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Strong"/>
          <w:rFonts w:eastAsia="Calibri" w:cs="Times New Roman"/>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Gestão e Fiscalização Avançada: Licitações, Contratos e Governança Eficiente</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23 a 26 de setembro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15 de setembro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R$1.390,00 (mil, trezentos e noventa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15 de setembro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15 de setembro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15 de setembro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44</w:t>
      </w:r>
      <w:r>
        <w:rPr>
          <w:rFonts w:cs="Calibri" w:cstheme="minorHAnsi"/>
          <w:b/>
          <w:bCs/>
          <w:sz w:val="24"/>
          <w:szCs w:val="24"/>
          <w:shd w:fill="auto" w:val="clear"/>
        </w:rPr>
        <w:t xml:space="preserve">/2025 </w:t>
      </w:r>
      <w:r>
        <w:rPr>
          <w:rFonts w:cs="Calibri" w:cstheme="minorHAnsi"/>
          <w:b/>
          <w:bCs/>
          <w:sz w:val="24"/>
          <w:szCs w:val="24"/>
        </w:rPr>
        <w:t>- PROCESSO DE INEXIGIBILIDADE Nº.1</w:t>
      </w:r>
      <w:r>
        <w:rPr>
          <w:rFonts w:cs="Calibri" w:cstheme="minorHAnsi"/>
          <w:b/>
          <w:bCs/>
          <w:sz w:val="24"/>
          <w:szCs w:val="24"/>
        </w:rPr>
        <w:t>3</w:t>
      </w:r>
      <w:r>
        <w:rPr>
          <w:rFonts w:cs="Calibri" w:cstheme="minorHAnsi"/>
          <w:b/>
          <w:bCs/>
          <w:sz w:val="24"/>
          <w:szCs w:val="24"/>
        </w:rPr>
        <w:t>/2025,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15 de setembro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15 de setembro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w:t>
      </w:r>
      <w:r>
        <w:rPr>
          <w:rFonts w:cs="Calibri" w:cstheme="minorHAnsi"/>
          <w:sz w:val="24"/>
          <w:szCs w:val="24"/>
        </w:rPr>
        <w:t>3</w:t>
      </w:r>
      <w:r>
        <w:rPr>
          <w:rFonts w:cs="Calibri" w:cstheme="minorHAnsi"/>
          <w:sz w:val="24"/>
          <w:szCs w:val="24"/>
        </w:rPr>
        <w:t>/2025.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KELI LETICIA BIGUELINI LTDA CNPJ: 59.052.003/0001-11</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Strong"/>
          <w:rFonts w:eastAsia="Calibri" w:cs="Times New Roman"/>
          <w:i w:val="false"/>
          <w:iCs w:val="false"/>
          <w:caps w:val="false"/>
          <w:smallCaps w:val="false"/>
          <w:strike w:val="false"/>
          <w:dstrike w:val="false"/>
          <w:color w:val="000000"/>
          <w:spacing w:val="0"/>
          <w:w w:val="115"/>
          <w:kern w:val="0"/>
          <w:sz w:val="24"/>
          <w:szCs w:val="24"/>
          <w:u w:val="none"/>
          <w:effect w:val="none"/>
          <w:shd w:fill="auto" w:val="clear"/>
          <w:lang w:val="pt-BR" w:eastAsia="ar-SA" w:bidi="ar-SA"/>
        </w:rPr>
        <w:t>Gestão e Fiscalização Avançada: Licitações, Contratos e Governança Eficiente</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w:t>
      </w:r>
      <w:r>
        <w:rPr>
          <w:rFonts w:cs="Calibri" w:cstheme="minorHAnsi"/>
          <w:sz w:val="24"/>
          <w:szCs w:val="24"/>
        </w:rPr>
        <w:t xml:space="preserve"> referente à </w:t>
      </w:r>
      <w:r>
        <w:rPr>
          <w:rFonts w:cs="Calibri" w:cstheme="minorHAnsi"/>
          <w:b/>
          <w:bCs/>
          <w:sz w:val="24"/>
          <w:szCs w:val="24"/>
        </w:rPr>
        <w:t xml:space="preserve">01 (uma) inscrição </w:t>
      </w:r>
      <w:r>
        <w:rPr>
          <w:rFonts w:cs="Calibri" w:cstheme="minorHAnsi"/>
          <w:sz w:val="24"/>
          <w:szCs w:val="24"/>
        </w:rPr>
        <w:t xml:space="preserve">no curso para vereadores deste órgão, pelo valor total de </w:t>
      </w:r>
      <w:r>
        <w:rPr>
          <w:rFonts w:cs="Calibri" w:cstheme="minorHAnsi"/>
          <w:b/>
          <w:bCs/>
          <w:sz w:val="24"/>
          <w:szCs w:val="24"/>
        </w:rPr>
        <w:t>R$1.390,00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2872</TotalTime>
  <Application>LibreOffice/25.2.5.2$Windows_X86_64 LibreOffice_project/03d19516eb2e1dd5d4ccd751a0d6f35f35e08022</Application>
  <AppVersion>15.0000</AppVersion>
  <Pages>22</Pages>
  <Words>4315</Words>
  <Characters>26404</Characters>
  <CharactersWithSpaces>30489</CharactersWithSpaces>
  <Paragraphs>330</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2025-09-19T10:15:15Z</cp:lastPrinted>
  <dcterms:modified xsi:type="dcterms:W3CDTF">2025-09-19T10:15:17Z</dcterms:modified>
  <cp:revision>136</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