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CONTRATO Nº 1</w:t>
      </w:r>
      <w:r>
        <w:rPr>
          <w:rFonts w:cs="Arial" w:ascii="Arial" w:hAnsi="Arial"/>
          <w:b/>
          <w:bCs/>
          <w:sz w:val="22"/>
          <w:szCs w:val="22"/>
        </w:rPr>
        <w:t>9</w:t>
      </w:r>
      <w:r>
        <w:rPr>
          <w:rFonts w:cs="Arial" w:ascii="Arial" w:hAnsi="Arial"/>
          <w:b/>
          <w:bCs/>
          <w:sz w:val="22"/>
          <w:szCs w:val="22"/>
        </w:rPr>
        <w:t xml:space="preserve">/2021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CONTRATAÇÃO DE EMPRESA DO RAMO PERTINENTE PARA AQUISIÇÃO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M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shd w:fill="FFFFFF" w:val="clear"/>
          <w:lang w:val="pt-BR" w:eastAsia="en-US" w:bidi="ar-SA"/>
        </w:rPr>
        <w:t>ICROFONES PROFISSIONAIS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</w:t>
      </w:r>
      <w:r>
        <w:rPr>
          <w:rFonts w:cs="Arial" w:ascii="Arial" w:hAnsi="Arial"/>
          <w:b/>
          <w:bCs/>
          <w:sz w:val="22"/>
          <w:szCs w:val="22"/>
        </w:rPr>
        <w:t>7</w:t>
      </w:r>
      <w:r>
        <w:rPr>
          <w:rFonts w:cs="Arial" w:ascii="Arial" w:hAnsi="Arial"/>
          <w:b/>
          <w:bCs/>
          <w:sz w:val="22"/>
          <w:szCs w:val="22"/>
        </w:rPr>
        <w:t>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AQUISIÇÃO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M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shd w:fill="FFFFFF" w:val="clear"/>
          <w:lang w:val="pt-BR" w:eastAsia="en-US" w:bidi="ar-SA"/>
        </w:rPr>
        <w:t>ICROFONES PROFISSIONAIS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DRESSLER INFORMÁTICA LTDA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94.661.592/0001-36</w:t>
      </w:r>
      <w:r>
        <w:rPr>
          <w:rFonts w:cs="Arial" w:ascii="Arial" w:hAnsi="Arial"/>
          <w:sz w:val="22"/>
          <w:szCs w:val="22"/>
        </w:rPr>
        <w:t xml:space="preserve">, estabelecida na Avenida Julio de Castilhos, n° 264, Centro em Três Passos-RS, neste ato representada pelo Sr  Jaime Orlando Dressler,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inscrito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333.252.190-04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b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</w:t>
      </w:r>
      <w:r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 xml:space="preserve">/2021. 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sz w:val="23"/>
          <w:szCs w:val="23"/>
        </w:rPr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CONTRATAÇÃO DE EMPRESA DO RAMO PERTINENTE PARA AQUISIÇÃO DE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M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kern w:val="0"/>
          <w:sz w:val="22"/>
          <w:szCs w:val="22"/>
          <w:shd w:fill="FFFFFF" w:val="clear"/>
          <w:lang w:val="pt-BR" w:eastAsia="en-US" w:bidi="ar-SA"/>
        </w:rPr>
        <w:t>ICROFONES PROFISSIONAIS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ascii="Arial" w:hAnsi="Arial"/>
          <w:sz w:val="22"/>
          <w:szCs w:val="22"/>
        </w:rPr>
        <w:t>Conforme descrição do ite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 xml:space="preserve"> a seguir: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6015"/>
        <w:gridCol w:w="2490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Foto meramente ilustrativa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03 un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left="829" w:right="829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6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TSI MMF-302</w:t>
            </w:r>
          </w:p>
          <w:p>
            <w:pPr>
              <w:pStyle w:val="TableParagraph"/>
              <w:widowControl w:val="false"/>
              <w:spacing w:lineRule="exact" w:line="275"/>
              <w:ind w:left="829" w:right="83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(Conforme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art. 7º,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§ 5º da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Lei 8666/91)</w:t>
            </w:r>
          </w:p>
          <w:p>
            <w:pPr>
              <w:pStyle w:val="TableParagraph"/>
              <w:widowControl w:val="false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2" w:leader="none"/>
              </w:tabs>
              <w:spacing w:lineRule="auto" w:line="240" w:before="0" w:after="0"/>
              <w:ind w:left="55" w:right="52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Microfone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profissional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Phantom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7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Power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 pilhas 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sistema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dá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7" w:leader="none"/>
              </w:tabs>
              <w:spacing w:lineRule="auto" w:line="240" w:before="0" w:after="0"/>
              <w:ind w:left="55" w:right="51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base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mesa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suporte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6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flexível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8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Cabo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6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metros plugue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XLR para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23" w:leader="none"/>
              </w:tabs>
              <w:spacing w:lineRule="auto" w:line="240" w:before="0" w:after="0"/>
              <w:ind w:left="55" w:right="55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Led de cor vermelha próximo à cápsula, que acende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quando o microfone é acionado e chama a atenção do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operador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mesmo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acionar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 canal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respectivo.</w:t>
            </w:r>
          </w:p>
          <w:p>
            <w:pPr>
              <w:pStyle w:val="TableParagraph"/>
              <w:widowControl w:val="false"/>
              <w:ind w:left="5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Especificações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19" w:leader="none"/>
              </w:tabs>
              <w:spacing w:lineRule="auto" w:line="240" w:before="0" w:after="0"/>
              <w:ind w:left="55" w:right="49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Alimentação: 9-52V DC Phantom Power ou 2 pilhas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Altura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conjunto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(Haste+Base+Espuma)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46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Condensador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Comprimento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Haste 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Impedância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saída: 200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Ω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± 30%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(a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1kHz)</w:t>
            </w:r>
          </w:p>
          <w:p>
            <w:pPr>
              <w:pStyle w:val="TableParagraph"/>
              <w:widowControl w:val="false"/>
              <w:spacing w:before="1" w:after="0"/>
              <w:ind w:left="5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•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Nível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Ruído:20.0dB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Padrão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polar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cardióide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Resposta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Frequência: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Hz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 16 kHz</w:t>
            </w:r>
          </w:p>
          <w:p>
            <w:pPr>
              <w:pStyle w:val="TableParagraph"/>
              <w:widowControl w:val="false"/>
              <w:ind w:left="55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•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Relação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sinal/ruído: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&gt;90 dB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T.H.D.:&lt;0.5%@1kHz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Sensibilidade:-38dB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±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3dB (0dB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=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1V/Pa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1kHz)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SPL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max.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124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cápsula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espuma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inline distT="0" distB="0" distL="0" distR="0">
                  <wp:extent cx="1506855" cy="1247140"/>
                  <wp:effectExtent l="0" t="0" r="0" b="0"/>
                  <wp:docPr id="1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deverá entregar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os microfones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em perfeito estado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, estando incluído no preço todos os materiais que se fizerem necessários, bem como </w:t>
      </w:r>
      <w:r>
        <w:rPr>
          <w:rFonts w:cs="Arial" w:ascii="Arial" w:hAnsi="Arial"/>
          <w:b w:val="false"/>
          <w:bCs w:val="false"/>
          <w:sz w:val="22"/>
          <w:szCs w:val="22"/>
        </w:rPr>
        <w:t>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frete.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QUARTA - DO PREÇO, DA FORMA DE PAGAMENTO: A CONTRATANTE</w:t>
      </w:r>
      <w:r>
        <w:rPr>
          <w:rFonts w:ascii="Arial" w:hAnsi="Arial"/>
          <w:sz w:val="22"/>
          <w:szCs w:val="22"/>
        </w:rPr>
        <w:t xml:space="preserve"> 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>R$ 2.247,00 (dois mil, duzentos e quarenta e sete reais</w:t>
      </w:r>
      <w:r>
        <w:rPr>
          <w:rFonts w:ascii="Arial" w:hAnsi="Arial"/>
          <w:sz w:val="22"/>
          <w:szCs w:val="22"/>
        </w:rPr>
        <w:t xml:space="preserve">),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4710"/>
        <w:gridCol w:w="1920"/>
        <w:gridCol w:w="1200"/>
        <w:gridCol w:w="960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suppressLineNumbers/>
              <w:suppressAutoHyphens w:val="true"/>
              <w:bidi w:val="0"/>
              <w:spacing w:before="0" w:after="0"/>
              <w:ind w:left="0" w:right="-57" w:hanging="57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Quant.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Descrição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Foto meramente ilustrativa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Valor Unitário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Valor </w:t>
            </w:r>
          </w:p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Total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03 unid</w:t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left="829" w:right="829" w:hanging="0"/>
              <w:jc w:val="center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MICROFONE</w:t>
            </w:r>
            <w:r>
              <w:rPr>
                <w:rFonts w:ascii="Arial" w:hAnsi="Arial"/>
                <w:b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TSI MMF-302</w:t>
            </w:r>
          </w:p>
          <w:p>
            <w:pPr>
              <w:pStyle w:val="TableParagraph"/>
              <w:widowControl w:val="false"/>
              <w:spacing w:lineRule="exact" w:line="275"/>
              <w:ind w:left="829" w:right="83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(Conforme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art. 7º,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§ 5º da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Lei 8666/91)</w:t>
            </w:r>
          </w:p>
          <w:p>
            <w:pPr>
              <w:pStyle w:val="TableParagraph"/>
              <w:widowControl w:val="false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Características: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2" w:leader="none"/>
              </w:tabs>
              <w:spacing w:lineRule="auto" w:line="240" w:before="0" w:after="0"/>
              <w:ind w:left="55" w:right="52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Microfone</w:t>
            </w:r>
            <w:r>
              <w:rPr>
                <w:rFonts w:ascii="Arial" w:hAnsi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profissional</w:t>
            </w:r>
            <w:r>
              <w:rPr>
                <w:rFonts w:ascii="Arial" w:hAnsi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alta</w:t>
            </w:r>
            <w:r>
              <w:rPr>
                <w:rFonts w:ascii="Arial" w:hAnsi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sensibilidade</w:t>
            </w:r>
            <w:r>
              <w:rPr>
                <w:rFonts w:ascii="Arial" w:hAnsi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>
              <w:rPr>
                <w:rFonts w:ascii="Arial" w:hAnsi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Phantom</w:t>
            </w:r>
            <w:r>
              <w:rPr>
                <w:rFonts w:ascii="Arial" w:hAnsi="Arial"/>
                <w:spacing w:val="-5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Power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ou pilhas 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sistema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dá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Voz.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97" w:leader="none"/>
              </w:tabs>
              <w:spacing w:lineRule="auto" w:line="240" w:before="0" w:after="0"/>
              <w:ind w:left="55" w:right="51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base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para</w:t>
            </w:r>
            <w:r>
              <w:rPr>
                <w:rFonts w:ascii="Arial" w:hAnsi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mesa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suporte</w:t>
            </w:r>
            <w:r>
              <w:rPr>
                <w:rFonts w:ascii="Arial" w:hAnsi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flexível</w:t>
            </w:r>
            <w:r>
              <w:rPr>
                <w:rFonts w:ascii="Arial" w:hAnsi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com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cápsula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condensador,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saída XLR.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Cabo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com 6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metros plugue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XLR para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P-10.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23" w:leader="none"/>
              </w:tabs>
              <w:spacing w:lineRule="auto" w:line="240" w:before="0" w:after="0"/>
              <w:ind w:left="55" w:right="55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Led de cor vermelha próximo à cápsula, que acende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quando o microfone é acionado e chama a atenção do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operador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para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 mesmo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acionar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o canal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respectivo.</w:t>
            </w:r>
          </w:p>
          <w:p>
            <w:pPr>
              <w:pStyle w:val="TableParagraph"/>
              <w:widowControl w:val="false"/>
              <w:ind w:left="55" w:right="0" w:hanging="0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Especificações</w:t>
            </w:r>
            <w:r>
              <w:rPr>
                <w:rFonts w:ascii="Arial" w:hAnsi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Técnicas: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19" w:leader="none"/>
              </w:tabs>
              <w:spacing w:lineRule="auto" w:line="240" w:before="0" w:after="0"/>
              <w:ind w:left="55" w:right="49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Alimentação: 9-52V DC Phantom Power ou 2 pilhas</w:t>
            </w:r>
            <w:r>
              <w:rPr>
                <w:rFonts w:ascii="Arial" w:hAnsi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1.5V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Altura</w:t>
            </w:r>
            <w:r>
              <w:rPr>
                <w:rFonts w:ascii="Arial" w:hAnsi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do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conjunto</w:t>
            </w:r>
            <w:r>
              <w:rPr>
                <w:rFonts w:ascii="Arial" w:hAnsi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(Haste+Base+Espuma)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46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Cápsula: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Condensador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Eletreto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Comprimento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Haste 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41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cm.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Impedância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saída: 200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Ω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± 30%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1kHz)</w:t>
            </w:r>
          </w:p>
          <w:p>
            <w:pPr>
              <w:pStyle w:val="TableParagraph"/>
              <w:widowControl w:val="false"/>
              <w:spacing w:before="1" w:after="0"/>
              <w:ind w:left="55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•</w:t>
            </w:r>
            <w:r>
              <w:rPr>
                <w:rFonts w:ascii="Arial" w:hAnsi="Arial"/>
                <w:sz w:val="22"/>
                <w:szCs w:val="22"/>
              </w:rPr>
              <w:t>Nível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Ruído:20.0dB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Padrão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polar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cardióide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Resposta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de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Frequência: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50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Hz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 16 kHz</w:t>
            </w:r>
          </w:p>
          <w:p>
            <w:pPr>
              <w:pStyle w:val="TableParagraph"/>
              <w:widowControl w:val="false"/>
              <w:ind w:left="55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•</w:t>
            </w:r>
            <w:r>
              <w:rPr>
                <w:rFonts w:ascii="Arial" w:hAnsi="Arial"/>
                <w:sz w:val="22"/>
                <w:szCs w:val="22"/>
              </w:rPr>
              <w:t>Relação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sinal/ruído: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&gt;90 dB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T.H.D.:&lt;0.5%@1kHz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Sensibilidade:-38dB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±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3dB (0dB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=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1V/Pa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em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1kHz)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SPL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max.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124</w:t>
            </w:r>
            <w:r>
              <w:rPr>
                <w:rFonts w:ascii="Arial" w:hAnsi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Db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</w:t>
            </w:r>
            <w:r>
              <w:rPr>
                <w:rFonts w:ascii="Arial" w:hAnsi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cápsula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200" w:leader="none"/>
              </w:tabs>
              <w:spacing w:lineRule="auto" w:line="240" w:before="0" w:after="0"/>
              <w:ind w:left="199" w:right="0" w:hanging="145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Com espuma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drawing>
                <wp:inline distT="0" distB="0" distL="0" distR="0">
                  <wp:extent cx="1148715" cy="950595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950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R$ 749,00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R$ 2.247,00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Valor Total: R$ 2.247,00 (dois mil duzentos e quarenta e sete reais)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R$ 2.247,00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57" w:after="57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b w:val="false"/>
          <w:bCs w:val="false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Unidade:  01 Secretaria da Câmara</w:t>
        <w:br/>
        <w:t xml:space="preserve">         Proj/Ativ.: 1.001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4.4.90.52.00.00.00 - Equipamentos e material permanente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Valor total Previsto: R$ 2.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247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,00</w:t>
      </w:r>
    </w:p>
    <w:p>
      <w:pPr>
        <w:pStyle w:val="Normal"/>
        <w:spacing w:lineRule="auto" w:line="276"/>
        <w:rPr>
          <w:rFonts w:ascii="Arial" w:hAnsi="Arial" w:eastAsia="Times New Roman" w:cs="Arial"/>
          <w:color w:val="000000"/>
          <w:w w:val="115"/>
          <w:kern w:val="0"/>
          <w:sz w:val="22"/>
          <w:szCs w:val="22"/>
          <w:lang w:val="pt-BR" w:eastAsia="pt-BR" w:bidi="ar-SA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25 de agosto de 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PAULO GILCEU SATTLER                                                  DRESSLER INFORMÁTICA LTDA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                                                                       CNPJ N° 94.661.592/0001-36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4"/>
      <w:footerReference w:type="default" r:id="rId5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55" w:hanging="137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00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0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20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60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00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4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80" w:hanging="13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Application>LibreOffice/7.0.1.2$Windows_X86_64 LibreOffice_project/7cbcfc562f6eb6708b5ff7d7397325de9e764452</Application>
  <Pages>3</Pages>
  <Words>906</Words>
  <Characters>4792</Characters>
  <CharactersWithSpaces>6022</CharactersWithSpaces>
  <Paragraphs>83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2021-08-17T16:13:39Z</cp:lastPrinted>
  <dcterms:modified xsi:type="dcterms:W3CDTF">2021-08-17T16:15:12Z</dcterms:modified>
  <cp:revision>60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