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>CONTRATO Nº 51</w:t>
      </w:r>
      <w:r>
        <w:rPr>
          <w:rFonts w:cs="Arial"/>
          <w:b/>
          <w:bCs/>
          <w:sz w:val="22"/>
          <w:szCs w:val="22"/>
          <w:shd w:fill="auto" w:val="clear"/>
        </w:rPr>
        <w:t>/2025</w:t>
      </w:r>
      <w:r>
        <w:rPr>
          <w:rFonts w:cs="Arial"/>
          <w:b/>
          <w:bCs/>
          <w:sz w:val="22"/>
          <w:szCs w:val="22"/>
        </w:rPr>
        <w:t xml:space="preserve"> PARA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LIXEIRAS PARA O NOVO PLENÁRIO DA 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38/2025.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>Pelo presente instrumento de contrato para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AQUISIÇÃO DE LIXEIRAS PARA O NOVO PLENÁRIO DA CÂMARA DE VEREADORES DE TRÊS PASSOS-RS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,</w:t>
      </w:r>
      <w:r>
        <w:rPr>
          <w:sz w:val="22"/>
          <w:szCs w:val="22"/>
        </w:rPr>
        <w:t xml:space="preserve"> 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LEANDRO ALVES DA SILVA LTDA, </w:t>
      </w:r>
      <w:r>
        <w:rPr>
          <w:rFonts w:cs="Arial"/>
          <w:sz w:val="22"/>
          <w:szCs w:val="22"/>
          <w:shd w:fill="auto" w:val="clear"/>
        </w:rPr>
        <w:t xml:space="preserve">inscrita no CNPJ sob o N° 36.553.637/0001-52, com sede na Rua Almirante Tamandare, nº 228, Centro em Três Passos, CEP:98600-000,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38/2025.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AQUISIÇÃO DE LIXEIRAS PARA O NOVO PLENÁRIO DA  CÂMARA DE VEREADORES DE TRÊS PASSOS-RS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8"/>
        <w:gridCol w:w="148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0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Tampa Basculante – Mínimo 50 Litros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Lixeira com tampa basculante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Mínimo de 50 litros;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Banheiros da Câmara Municipal;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Plástico Polipropileno (PP) de alta resistência, adequado para ambientes úmidos;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Preta ou cinza;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Sistema basculante com retorno automático, permitindo descarte simples e reduzindo exposição do conteúdo;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Superfície lisa, facilitando higienização e prevenindo acúmulo de sujeira;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Deve apresentar boa estabilidade para evitar tombamentos;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Depósito de resíduos comuns em áreas sanitárias com maior volume de circulação;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Condição de fornecimento:</w:t>
            </w:r>
            <w:r>
              <w:rPr>
                <w:rStyle w:val="Fontepargpadro"/>
                <w:rFonts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Frete incluso até a Câmara Municipal de Três Passos;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4 UN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139,90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559,60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R$ </w:t>
            </w:r>
            <w:r>
              <w:rPr>
                <w:b/>
                <w:bCs/>
                <w:sz w:val="22"/>
                <w:szCs w:val="22"/>
              </w:rPr>
              <w:t>559,60 (quinhentos e cinquenta e nove reais, com sessenta centavos).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cs="Arial"/>
          <w:b/>
          <w:bCs/>
          <w:color w:val="000000"/>
          <w:sz w:val="22"/>
          <w:szCs w:val="22"/>
          <w:lang w:val="pt-BR" w:eastAsia="ar-SA" w:bidi="ar-SA"/>
        </w:rPr>
        <w:t>CL</w:t>
      </w:r>
      <w:r>
        <w:rPr>
          <w:b/>
          <w:bCs/>
          <w:color w:val="000000"/>
          <w:sz w:val="22"/>
          <w:szCs w:val="22"/>
        </w:rPr>
        <w:t>ÁUSULA TERCEIRA - EXIGÊNCIAS E ATRIBUIÇÕES:</w:t>
      </w:r>
      <w:r>
        <w:rPr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3.1</w:t>
      </w:r>
      <w:r>
        <w:rPr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Strong"/>
          <w:color w:val="000000"/>
          <w:sz w:val="22"/>
          <w:szCs w:val="22"/>
          <w:lang w:eastAsia="en-US"/>
        </w:rPr>
        <w:t>Do Prazo de Entrega</w:t>
      </w:r>
    </w:p>
    <w:p>
      <w:pPr>
        <w:pStyle w:val="BodyText"/>
        <w:spacing w:lineRule="auto" w:line="276" w:before="0" w:after="0"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O prazo máximo para fornecimento dos itens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será de </w:t>
      </w: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05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(cinco) dias</w:t>
      </w: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,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contados a partir da realização da Solicitação de Fornecimento/ empenho.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Style w:val="Fontepargpadro"/>
          <w:rFonts w:eastAsia="Calibri" w:cs="Times New Roman"/>
          <w:b/>
          <w:bCs/>
          <w:color w:val="000000"/>
          <w:sz w:val="22"/>
          <w:szCs w:val="22"/>
          <w:lang w:eastAsia="en-US"/>
        </w:rPr>
        <w:t>3.2</w:t>
      </w:r>
      <w:r>
        <w:rPr>
          <w:rStyle w:val="Fontepargpadro"/>
          <w:rFonts w:eastAsia="Calibri" w:cs="Times New Roman"/>
          <w:b w:val="false"/>
          <w:bCs w:val="false"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rFonts w:eastAsia="Calibri" w:cs="Times New Roman"/>
          <w:b/>
          <w:bCs/>
          <w:color w:val="000000"/>
          <w:sz w:val="22"/>
          <w:szCs w:val="22"/>
          <w:lang w:eastAsia="en-US"/>
        </w:rPr>
        <w:t>Do termo de contrato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Style w:val="Fontepargpadro"/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3.2.1 </w:t>
      </w: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>O adjudicatário terá o prazo de 02 (dois) dias úteis,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3.2.2 </w:t>
      </w:r>
      <w:r>
        <w:rPr>
          <w:b w:val="false"/>
          <w:bCs w:val="false"/>
          <w:color w:val="000000"/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3.3 </w:t>
      </w:r>
      <w:r>
        <w:rPr>
          <w:rStyle w:val="Strong"/>
          <w:rFonts w:eastAsia="Calibri" w:cs="Times New Roman"/>
          <w:color w:val="000000"/>
          <w:sz w:val="22"/>
          <w:szCs w:val="22"/>
          <w:lang w:eastAsia="en-US"/>
        </w:rPr>
        <w:t>Das Responsabilidades do Contratado</w:t>
      </w:r>
    </w:p>
    <w:p>
      <w:pPr>
        <w:pStyle w:val="Corpodetexto31"/>
        <w:spacing w:lineRule="auto" w:line="276" w:before="0" w:after="0"/>
        <w:jc w:val="both"/>
        <w:rPr>
          <w:sz w:val="24"/>
          <w:szCs w:val="24"/>
        </w:rPr>
      </w:pPr>
      <w:r>
        <w:rPr>
          <w:rStyle w:val="Fontepargpadro"/>
          <w:rFonts w:eastAsia="Calibri" w:cs="Times New Roman"/>
          <w:bCs/>
          <w:color w:val="000000"/>
          <w:sz w:val="24"/>
          <w:szCs w:val="24"/>
          <w:lang w:eastAsia="en-US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2"/>
          <w:szCs w:val="22"/>
          <w:lang w:eastAsia="en-US"/>
        </w:rPr>
        <w:t xml:space="preserve">3.4 </w:t>
      </w: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Do Pagamento e dos Critérios de atualização Monetária</w:t>
      </w:r>
    </w:p>
    <w:p>
      <w:pPr>
        <w:pStyle w:val="BodyText"/>
        <w:spacing w:lineRule="auto" w:line="360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 pagamento será efetuado em até </w:t>
      </w:r>
      <w:r>
        <w:rPr>
          <w:rFonts w:ascii="Times New Roman" w:hAnsi="Times New Roman"/>
          <w:b/>
          <w:bCs/>
          <w:sz w:val="24"/>
          <w:szCs w:val="24"/>
        </w:rPr>
        <w:t>15 (quinze) dias</w:t>
      </w:r>
      <w:r>
        <w:rPr>
          <w:rFonts w:ascii="Times New Roman" w:hAnsi="Times New Roman"/>
          <w:sz w:val="24"/>
          <w:szCs w:val="24"/>
        </w:rPr>
        <w:t xml:space="preserve"> após a entrega das lixeiras,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/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3.5 Das Obrigações e Responsabilidades da Contratada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Style w:val="Strong"/>
          <w:rFonts w:eastAsia="Calibri" w:cs="Times New Roman"/>
          <w:b/>
          <w:color w:val="000000"/>
          <w:sz w:val="24"/>
          <w:szCs w:val="24"/>
          <w:lang w:eastAsia="en-US"/>
        </w:rPr>
        <w:t>IX -</w:t>
      </w:r>
      <w:r>
        <w:rPr>
          <w:rStyle w:val="Strong"/>
          <w:rFonts w:eastAsia="Calibri" w:cs="Times New Roman"/>
          <w:b w:val="false"/>
          <w:color w:val="000000"/>
          <w:sz w:val="24"/>
          <w:szCs w:val="24"/>
          <w:lang w:eastAsia="en-US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</w:t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 xml:space="preserve">3.6 Das Obrigações da Contratante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Style w:val="Strong"/>
          <w:rFonts w:eastAsia="Calibri" w:cs="Times New Roman"/>
          <w:b w:val="false"/>
          <w:color w:val="000000"/>
          <w:sz w:val="24"/>
          <w:szCs w:val="24"/>
          <w:lang w:eastAsia="en-US"/>
        </w:rPr>
        <w:t>- Efetuar o pagamento à Contratada</w:t>
      </w:r>
      <w:r>
        <w:rPr>
          <w:rStyle w:val="Strong"/>
          <w:rFonts w:eastAsia="Calibri" w:cs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Style w:val="Strong"/>
          <w:rFonts w:eastAsia="Calibri" w:cs="Times New Roman"/>
          <w:b w:val="false"/>
          <w:color w:val="000000"/>
          <w:sz w:val="24"/>
          <w:szCs w:val="24"/>
          <w:lang w:eastAsia="en-US"/>
        </w:rPr>
        <w:t>no valor correspondente ao fornecimento do objeto, no prazo e forma estabelecidos no Edital e seus anexos, observada a ordem cronológica para cada fonte diferenciada de recursos, nos termos do art. 141 da Lei nº 14.133/2021; A Câmara Municipal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3.7 Das Infrações e Sanções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/>
          <w:b w:val="false"/>
          <w:bCs w:val="false"/>
          <w:color w:val="000000"/>
          <w:sz w:val="24"/>
          <w:szCs w:val="24"/>
          <w:u w:val="none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60" w:before="0" w:after="200"/>
        <w:contextualSpacing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CLÁUSULA QUARTA- DO PREÇO, DA FORMA DE PAGAMENTO: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CONTRATANTE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pagará à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CONTRATADA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, o valor de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R$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559,60 (quinhentos e cinquenta e nove reais, com sessenta centavos),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referente ao objeto contratado.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15 (quinze)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dias para o pagamento, a contar da data de entrega das lixeiras na Câmara Municipal de Três Passos e apresentação da nota fiscal.</w:t>
      </w:r>
    </w:p>
    <w:p>
      <w:pPr>
        <w:pStyle w:val="Normal"/>
        <w:spacing w:lineRule="auto" w:line="276" w:before="57" w:after="57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CLÁUSULA QUINTA – DA VIGÊNCIA CONTRATUAL E PRAZO DE ENTREGA: </w:t>
      </w:r>
      <w:r>
        <w:rPr>
          <w:b w:val="false"/>
          <w:bCs w:val="false"/>
          <w:color w:val="000000"/>
          <w:sz w:val="24"/>
          <w:szCs w:val="24"/>
        </w:rPr>
        <w:t>O presente instrumento terá vigência até 31/12/2025.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dos equipamentos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spacing w:lineRule="auto" w:line="276" w:before="57" w:after="57"/>
        <w:jc w:val="both"/>
        <w:rPr>
          <w:color w:val="000000"/>
        </w:rPr>
      </w:pPr>
      <w:r>
        <w:rPr>
          <w:rFonts w:eastAsia="Calibri" w:cs="Times New Roman"/>
          <w:b/>
          <w:bCs w:val="false"/>
          <w:color w:val="000000"/>
          <w:sz w:val="24"/>
          <w:szCs w:val="24"/>
          <w:lang w:eastAsia="en-US"/>
        </w:rPr>
        <w:t xml:space="preserve">§ 2º </w:t>
      </w:r>
      <w:r>
        <w:rPr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 w:before="57" w:after="57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CLÁUSULA SEXTA – DA DOTAÇÃO ORÇAMENTÁRIA: </w:t>
      </w:r>
      <w:r>
        <w:rPr>
          <w:color w:val="000000"/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 xml:space="preserve">Elemento: </w:t>
      </w: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  <w:shd w:fill="auto" w:val="clear"/>
        </w:rPr>
        <w:t>3.3.9.0.30.00.00.00 - Material de consumo</w:t>
      </w:r>
    </w:p>
    <w:p>
      <w:pPr>
        <w:pStyle w:val="Normal"/>
        <w:spacing w:lineRule="auto" w:line="276" w:before="57" w:after="57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CLÁUSULA SÉTIMA : </w:t>
      </w:r>
      <w:r>
        <w:rPr>
          <w:color w:val="000000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color w:val="000000"/>
          <w:sz w:val="22"/>
          <w:szCs w:val="22"/>
        </w:rPr>
        <w:t>Três Passos - RS, 17 de Dezembro de 2025.</w:t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</w:rPr>
        <w:t>________________________                        ________________________________________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Flavio Habitzreiter </w:t>
      </w:r>
      <w:r>
        <w:rPr>
          <w:color w:val="000000"/>
          <w:sz w:val="22"/>
          <w:szCs w:val="22"/>
        </w:rPr>
        <w:t xml:space="preserve">                                                       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>LEANDRO ALVES DA SILVA LTDA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PRESIDENTE                                                                          CNPJ N°  </w:t>
      </w:r>
      <w:r>
        <w:rPr>
          <w:rFonts w:cs="Arial"/>
          <w:color w:val="000000"/>
          <w:sz w:val="22"/>
          <w:szCs w:val="22"/>
          <w:shd w:fill="auto" w:val="clear"/>
        </w:rPr>
        <w:t>36.553.637/0001-52</w: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  <w:lang w:eastAsia="ar-SA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Application>LibreOffice/7.6.2.1$Windows_X86_64 LibreOffice_project/56f7684011345957bbf33a7ee678afaf4d2ba333</Application>
  <AppVersion>15.0000</AppVersion>
  <Pages>7</Pages>
  <Words>2349</Words>
  <Characters>12920</Characters>
  <CharactersWithSpaces>15541</CharactersWithSpaces>
  <Paragraphs>119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2025-12-17T11:49:10Z</dcterms:modified>
  <cp:revision>83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